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5200B" w14:textId="77777777" w:rsidR="001E2615" w:rsidRDefault="001E2615" w:rsidP="001E2615">
      <w:pPr>
        <w:tabs>
          <w:tab w:val="left" w:pos="1034"/>
        </w:tabs>
        <w:jc w:val="both"/>
        <w:rPr>
          <w:rFonts w:cs="Arial"/>
          <w:sz w:val="20"/>
          <w:szCs w:val="20"/>
        </w:rPr>
      </w:pPr>
    </w:p>
    <w:p w14:paraId="1DFB20E3" w14:textId="77777777" w:rsidR="009418F8" w:rsidRDefault="009418F8" w:rsidP="001E2615">
      <w:pPr>
        <w:tabs>
          <w:tab w:val="left" w:pos="1034"/>
        </w:tabs>
        <w:jc w:val="both"/>
        <w:rPr>
          <w:rFonts w:cs="Arial"/>
          <w:sz w:val="20"/>
          <w:szCs w:val="20"/>
        </w:rPr>
      </w:pPr>
    </w:p>
    <w:p w14:paraId="4629649A" w14:textId="77777777" w:rsidR="009418F8" w:rsidRDefault="009418F8" w:rsidP="001E2615">
      <w:pPr>
        <w:tabs>
          <w:tab w:val="left" w:pos="1034"/>
        </w:tabs>
        <w:jc w:val="both"/>
        <w:rPr>
          <w:rFonts w:cs="Arial"/>
          <w:sz w:val="20"/>
          <w:szCs w:val="20"/>
        </w:rPr>
      </w:pPr>
    </w:p>
    <w:p w14:paraId="3D05545E" w14:textId="77777777" w:rsidR="009418F8" w:rsidRDefault="009418F8" w:rsidP="001E2615">
      <w:pPr>
        <w:tabs>
          <w:tab w:val="left" w:pos="1034"/>
        </w:tabs>
        <w:jc w:val="both"/>
        <w:rPr>
          <w:rFonts w:cs="Arial"/>
          <w:sz w:val="20"/>
          <w:szCs w:val="20"/>
        </w:rPr>
      </w:pPr>
    </w:p>
    <w:p w14:paraId="10826D9F" w14:textId="77777777" w:rsidR="009418F8" w:rsidRDefault="009418F8" w:rsidP="001E2615">
      <w:pPr>
        <w:tabs>
          <w:tab w:val="left" w:pos="1034"/>
        </w:tabs>
        <w:jc w:val="both"/>
        <w:rPr>
          <w:rFonts w:cs="Arial"/>
          <w:sz w:val="20"/>
          <w:szCs w:val="20"/>
        </w:rPr>
      </w:pPr>
    </w:p>
    <w:p w14:paraId="76B42D92" w14:textId="77777777" w:rsidR="009418F8" w:rsidRDefault="009418F8" w:rsidP="009418F8">
      <w:pPr>
        <w:ind w:left="7788"/>
        <w:jc w:val="both"/>
        <w:rPr>
          <w:rFonts w:ascii="Century Gothic" w:hAnsi="Century Gothic"/>
          <w:color w:val="000000" w:themeColor="text1"/>
          <w:sz w:val="18"/>
          <w:szCs w:val="20"/>
        </w:rPr>
      </w:pPr>
      <w:r>
        <w:rPr>
          <w:rFonts w:ascii="Century Gothic" w:hAnsi="Century Gothic"/>
          <w:color w:val="000000" w:themeColor="text1"/>
          <w:sz w:val="18"/>
          <w:szCs w:val="20"/>
        </w:rPr>
        <w:t xml:space="preserve">      marzec,</w:t>
      </w:r>
    </w:p>
    <w:p w14:paraId="79453ECF" w14:textId="77777777" w:rsidR="009418F8" w:rsidRPr="00040F93" w:rsidRDefault="009418F8" w:rsidP="009418F8">
      <w:pPr>
        <w:ind w:left="7080"/>
        <w:jc w:val="both"/>
        <w:rPr>
          <w:rFonts w:ascii="Century Gothic" w:hAnsi="Century Gothic"/>
          <w:color w:val="000000" w:themeColor="text1"/>
          <w:sz w:val="18"/>
          <w:szCs w:val="20"/>
        </w:rPr>
      </w:pPr>
      <w:bookmarkStart w:id="0" w:name="_GoBack"/>
      <w:r>
        <w:rPr>
          <w:rFonts w:ascii="Century Gothic" w:hAnsi="Century Gothic"/>
          <w:color w:val="000000" w:themeColor="text1"/>
          <w:sz w:val="18"/>
          <w:szCs w:val="20"/>
        </w:rPr>
        <w:t xml:space="preserve">   </w:t>
      </w:r>
      <w:r w:rsidRPr="00040F93">
        <w:rPr>
          <w:rFonts w:ascii="Century Gothic" w:hAnsi="Century Gothic"/>
          <w:color w:val="000000" w:themeColor="text1"/>
          <w:sz w:val="18"/>
          <w:szCs w:val="20"/>
        </w:rPr>
        <w:t>materiał prasowy</w:t>
      </w:r>
    </w:p>
    <w:bookmarkEnd w:id="0"/>
    <w:p w14:paraId="7087864E" w14:textId="77777777" w:rsidR="009418F8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32"/>
          <w:szCs w:val="32"/>
        </w:rPr>
      </w:pPr>
    </w:p>
    <w:p w14:paraId="1A3848F6" w14:textId="77777777" w:rsidR="009418F8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32"/>
          <w:szCs w:val="32"/>
        </w:rPr>
      </w:pPr>
      <w:r w:rsidRPr="0016142B">
        <w:rPr>
          <w:rFonts w:ascii="Century Gothic" w:hAnsi="Century Gothic"/>
          <w:b/>
          <w:bCs/>
          <w:color w:val="000000" w:themeColor="text1"/>
          <w:sz w:val="32"/>
          <w:szCs w:val="32"/>
        </w:rPr>
        <w:t xml:space="preserve">Najwięksi globalni gracze przecierają drogę dla mobile </w:t>
      </w:r>
      <w:proofErr w:type="spellStart"/>
      <w:r w:rsidRPr="0016142B">
        <w:rPr>
          <w:rFonts w:ascii="Century Gothic" w:hAnsi="Century Gothic"/>
          <w:b/>
          <w:bCs/>
          <w:color w:val="000000" w:themeColor="text1"/>
          <w:sz w:val="32"/>
          <w:szCs w:val="32"/>
        </w:rPr>
        <w:t>gamingu</w:t>
      </w:r>
      <w:proofErr w:type="spellEnd"/>
    </w:p>
    <w:p w14:paraId="7C53CB1F" w14:textId="77777777" w:rsidR="009418F8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32"/>
          <w:szCs w:val="32"/>
        </w:rPr>
      </w:pPr>
    </w:p>
    <w:p w14:paraId="35A46896" w14:textId="7D4E089F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Branża gier mobilnych pod względem dynamiki rozwoju nie ma sobie równych. Już w 2018 roku rynek mobile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gamingu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stanowił największy udział w sektorze</w:t>
      </w:r>
      <w:r w:rsidR="00F30F9B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gier i wynosił blisko 47 proc., 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a w roku 2020 przekroczył magiczną liczbę 51 proc.</w:t>
      </w:r>
      <w:r w:rsidRPr="006665AF">
        <w:rPr>
          <w:rStyle w:val="Odwoanieprzypisudolnego"/>
          <w:rFonts w:ascii="Century Gothic" w:hAnsi="Century Gothic"/>
          <w:b/>
          <w:bCs/>
          <w:color w:val="000000" w:themeColor="text1"/>
          <w:sz w:val="20"/>
          <w:szCs w:val="20"/>
        </w:rPr>
        <w:footnoteReference w:id="1"/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Prognozy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Newzoo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wskazują, że ta tendencja będzie się rozwijać. W tym roku wartość rynku </w:t>
      </w:r>
      <w:r w:rsidRPr="002439D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mobile </w:t>
      </w:r>
      <w:proofErr w:type="spellStart"/>
      <w:r w:rsidRPr="002439D3">
        <w:rPr>
          <w:rFonts w:ascii="Century Gothic" w:hAnsi="Century Gothic"/>
          <w:b/>
          <w:bCs/>
          <w:color w:val="000000" w:themeColor="text1"/>
          <w:sz w:val="20"/>
          <w:szCs w:val="20"/>
        </w:rPr>
        <w:t>gamingu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może wynieść nawet 91 mld USD z czego ponad 82 proc. wygenerują smartfony. Czy ten potencjał dostrzegli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marketerzy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 umieścili </w:t>
      </w:r>
      <w:r w:rsidRPr="002439D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mobile </w:t>
      </w:r>
      <w:proofErr w:type="spellStart"/>
      <w:r w:rsidRPr="002439D3">
        <w:rPr>
          <w:rFonts w:ascii="Century Gothic" w:hAnsi="Century Gothic"/>
          <w:b/>
          <w:bCs/>
          <w:color w:val="000000" w:themeColor="text1"/>
          <w:sz w:val="20"/>
          <w:szCs w:val="20"/>
        </w:rPr>
        <w:t>gaming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na liście „to do” przy prowadzeniu swoich kampanii? Okazuje się, że nie do końca wiedzą, jak się do tego zabrać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 przede wszystkim, jak zmierzyć efekty.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A rezultaty mierzyć się da nawet z lepszym skutkiem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niż w kampaniach prowadzonych w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social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media. Od kilku lat tę sytuację wykorz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ystują globalni gracze, jak 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Samsung,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L’Oreal</w:t>
      </w:r>
      <w:proofErr w:type="spellEnd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czy marka </w:t>
      </w:r>
      <w:proofErr w:type="spellStart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Dettol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którzy z powodzeniem inwestują w mobile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gaming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.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W jaki sposób to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robią?</w:t>
      </w:r>
    </w:p>
    <w:p w14:paraId="7F4D13F0" w14:textId="77777777" w:rsidR="009418F8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4B02C909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Chęć wyróżnienia się na tle innych marek i bycie konkurencyjnym na rynku to główny motywator dla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marketerów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>, aby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spoglądać w kierunku </w:t>
      </w:r>
      <w:r w:rsidRPr="00F00EEA">
        <w:rPr>
          <w:rFonts w:ascii="Century Gothic" w:hAnsi="Century Gothic"/>
          <w:color w:val="000000" w:themeColor="text1"/>
          <w:sz w:val="20"/>
          <w:szCs w:val="20"/>
        </w:rPr>
        <w:t>reklamy mobilnej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 </w:t>
      </w:r>
      <w:proofErr w:type="spellStart"/>
      <w:r w:rsidRPr="00AF3280">
        <w:rPr>
          <w:rFonts w:ascii="Century Gothic" w:hAnsi="Century Gothic"/>
          <w:color w:val="000000" w:themeColor="text1"/>
          <w:sz w:val="20"/>
          <w:szCs w:val="20"/>
        </w:rPr>
        <w:t>gamingu</w:t>
      </w:r>
      <w:proofErr w:type="spellEnd"/>
      <w:r w:rsidRPr="00AF3280">
        <w:rPr>
          <w:rFonts w:ascii="Century Gothic" w:hAnsi="Century Gothic"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Jednocześnie 6 na 10 specjalistów wskazuje, że głównym powodem nieinwestowania w tym obszarze budżetów reklamowych jest niewystarczająca znajomość branży oraz w ich odczuciu </w:t>
      </w:r>
      <w:r>
        <w:rPr>
          <w:rFonts w:ascii="Century Gothic" w:hAnsi="Century Gothic"/>
          <w:color w:val="000000" w:themeColor="text1"/>
          <w:sz w:val="20"/>
          <w:szCs w:val="20"/>
        </w:rPr>
        <w:t>problem z jej mierzalnością.</w:t>
      </w:r>
      <w:r>
        <w:rPr>
          <w:rStyle w:val="Odwoanieprzypisudolnego"/>
          <w:rFonts w:ascii="Century Gothic" w:hAnsi="Century Gothic"/>
          <w:color w:val="000000" w:themeColor="text1"/>
          <w:sz w:val="20"/>
          <w:szCs w:val="20"/>
        </w:rPr>
        <w:footnoteReference w:id="2"/>
      </w:r>
    </w:p>
    <w:p w14:paraId="44E73902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7582DA4A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proofErr w:type="spellStart"/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Marketerzy</w:t>
      </w:r>
      <w:proofErr w:type="spellEnd"/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doskonale poruszają się po znanych i sprawdzonych formach reklamowania online, które potrafią realizować i przede wszystkim mierzyć. W przypadku środowiska mobile </w:t>
      </w:r>
      <w:proofErr w:type="spellStart"/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gamingu</w:t>
      </w:r>
      <w:proofErr w:type="spellEnd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 </w:t>
      </w:r>
      <w:r w:rsidRPr="00F00EEA">
        <w:rPr>
          <w:rFonts w:ascii="Century Gothic" w:hAnsi="Century Gothic"/>
          <w:i/>
          <w:iCs/>
          <w:color w:val="000000" w:themeColor="text1"/>
          <w:sz w:val="20"/>
          <w:szCs w:val="20"/>
        </w:rPr>
        <w:t>reklamy w grach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doświadczenie jest obecnie niewielkie. Specjaliści widzą potencjał gier jako niestandardowego narzędzia marketingowego, ale nie wiedzą jak do niego podejść i jakie możliwości sprzedażowe oferuje. Z tego względu nie chcą podejmować żadnych dzi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ałań, bez rozwiania wątpliwości. 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Duży wpływ mają również pojawiające się wokół branży mity, z którymi warto się merytorycznie rozprawić, żeby uwolnić potencjał tego kanału reklamowego. Z pewnością pomogą również przykłady realnych kampan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ii zrealizowanych przez marki, które pokazują, że reklamy w </w:t>
      </w:r>
      <w:proofErr w:type="spellStart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gamingu</w:t>
      </w:r>
      <w:proofErr w:type="spellEnd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są dla każdego 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– mówi Michał Giera, CEO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Mobiem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Polska.</w:t>
      </w:r>
    </w:p>
    <w:p w14:paraId="37FD3D8C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092EF6A9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Mit 1. Mobile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gaming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nie pasuje do mojej marki</w:t>
      </w:r>
    </w:p>
    <w:p w14:paraId="69B959DB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06B903B3" w14:textId="77777777" w:rsidR="009418F8" w:rsidRPr="006665AF" w:rsidRDefault="009418F8" w:rsidP="009418F8">
      <w:pPr>
        <w:jc w:val="both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>Po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nad 83 proc.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marketerów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biorących udział w badaniu Havas i </w:t>
      </w:r>
      <w:proofErr w:type="spellStart"/>
      <w:r>
        <w:rPr>
          <w:rFonts w:ascii="Century Gothic" w:hAnsi="Century Gothic"/>
          <w:color w:val="000000" w:themeColor="text1"/>
          <w:sz w:val="20"/>
          <w:szCs w:val="20"/>
        </w:rPr>
        <w:t>Brief</w:t>
      </w:r>
      <w:proofErr w:type="spellEnd"/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000000" w:themeColor="text1"/>
          <w:sz w:val="20"/>
          <w:szCs w:val="20"/>
        </w:rPr>
        <w:t>eSports</w:t>
      </w:r>
      <w:proofErr w:type="spellEnd"/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uznało, że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gaming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nie pasuje do wizerunku ich marki i nie jest to dobry kanał do promowania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brandu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>.</w:t>
      </w:r>
      <w:r w:rsidRPr="006665AF">
        <w:rPr>
          <w:rStyle w:val="Odwoanieprzypisudolnego"/>
          <w:rFonts w:ascii="Century Gothic" w:hAnsi="Century Gothic"/>
          <w:color w:val="000000" w:themeColor="text1"/>
          <w:sz w:val="20"/>
          <w:szCs w:val="20"/>
        </w:rPr>
        <w:footnoteReference w:id="3"/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Z czego może to wynikać? Środowisko gier jest często postrzegane jako miejsce specyficzne i hermetyczne, w którym występuje określona grupa młodych odbiorców – </w:t>
      </w:r>
      <w:r>
        <w:rPr>
          <w:rFonts w:ascii="Century Gothic" w:hAnsi="Century Gothic"/>
          <w:color w:val="000000" w:themeColor="text1"/>
          <w:sz w:val="20"/>
          <w:szCs w:val="20"/>
        </w:rPr>
        <w:t>„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>zapalonych</w:t>
      </w:r>
      <w:r>
        <w:rPr>
          <w:rFonts w:ascii="Century Gothic" w:hAnsi="Century Gothic"/>
          <w:color w:val="000000" w:themeColor="text1"/>
          <w:sz w:val="20"/>
          <w:szCs w:val="20"/>
        </w:rPr>
        <w:t>”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gamerów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, która niekoniecznie jest na tyle dojrzała, aby podejmować decyzje zakupowe. Jednocześnie gry kojarzą się przede wszystkim z popularnymi „strzelankami” jak Counter-Strike w wersji na mobile,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być może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rzadziej z grami edukacyjnymi czy po prostu dostarczającymi rozrywki. - 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Według naszych badań ponad połowa kobiet wybiera symulacje. Z kolei mężczyźni wolą gry strategiczne, sportowe, wyścigi, przygodowe gry akcji, a także tzw. 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 xml:space="preserve">„strzelanki”. Nie możemy więc zapominać, że repertuar gier dostępny dla potencjalnych użytkowników jest bardzo szeroki i zróżnicowany. Opracowując założenia kampanii właśnie w mobile </w:t>
      </w:r>
      <w:proofErr w:type="spellStart"/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gamingu</w:t>
      </w:r>
      <w:proofErr w:type="spellEnd"/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możemy precyzyjnie określić zarówno grupę docelową, jak również w jakim otoczeniu będzie pojawiała się nasza </w:t>
      </w:r>
      <w:r w:rsidRPr="00F00EEA">
        <w:rPr>
          <w:rFonts w:ascii="Century Gothic" w:hAnsi="Century Gothic"/>
          <w:i/>
          <w:iCs/>
          <w:color w:val="000000" w:themeColor="text1"/>
          <w:sz w:val="20"/>
          <w:szCs w:val="20"/>
        </w:rPr>
        <w:t>reklama mobilna.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Mamy nad tym zdecydowanie większą kontrolę niż w przypadku kampanii prowadzonych w </w:t>
      </w:r>
      <w:proofErr w:type="spellStart"/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soc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ial</w:t>
      </w:r>
      <w:proofErr w:type="spellEnd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media. Nie ma zatem obaw, że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reklama marki pojawi się w miejscu, które mogłoby zaszkodzić jej wizerunkowi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dlatego globalne brandy inwestują spore budżety w ten kanał komunikacji – 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mówi,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Michał Pietruszka, </w:t>
      </w:r>
      <w:proofErr w:type="spellStart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Head</w:t>
      </w:r>
      <w:proofErr w:type="spellEnd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of Mobile Product,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Mobiem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</w:p>
    <w:p w14:paraId="02CF950A" w14:textId="77777777" w:rsidR="009418F8" w:rsidRPr="006665AF" w:rsidRDefault="009418F8" w:rsidP="009418F8">
      <w:pPr>
        <w:jc w:val="both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70955E25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Samsung – premiera produktu w mobile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gamingu</w:t>
      </w:r>
      <w:proofErr w:type="spellEnd"/>
    </w:p>
    <w:p w14:paraId="2D49B685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7FEBC748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Przykładem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znanego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brandu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, który realizował z powodzeniem kampanie w mobile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gamingu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jest producent telefonów firmy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Samsung. Marka nawiązała współpracę z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AdColony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, globalną platformą reklamy mobilnej przy premierze Samsunga Galaxy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Note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20. Kampania wykorzystywała zawansowane rozwiązanie zwiększające pole interakcji w formie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Dynamic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End Card i dawał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 możliwość za pomocą </w:t>
      </w:r>
      <w:r w:rsidRPr="004E221E">
        <w:rPr>
          <w:rFonts w:ascii="Century Gothic" w:hAnsi="Century Gothic"/>
          <w:color w:val="000000" w:themeColor="text1"/>
          <w:sz w:val="20"/>
          <w:szCs w:val="20"/>
        </w:rPr>
        <w:t>mob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ilnej reklamy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otrzymania kuponu R4000 na zakup słuchawek Galaxy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Buds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Live oraz oferty serwisowej Samsung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Care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+.</w:t>
      </w:r>
    </w:p>
    <w:p w14:paraId="1349137D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757D5F79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Przycisk wezwania do działania „zamów teraz w przedsprzedaży” </w:t>
      </w:r>
      <w:r w:rsidRPr="00D400DB">
        <w:rPr>
          <w:rFonts w:ascii="Century Gothic" w:hAnsi="Century Gothic"/>
          <w:color w:val="000000" w:themeColor="text1"/>
          <w:sz w:val="20"/>
          <w:szCs w:val="20"/>
        </w:rPr>
        <w:t>uzyskał zainteresowanie kilkunastu tysięcy użytkowników,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którzy przeszli do witryny Samsunga, aby dowiedzieć się więcej na temat produktu i go zamówić. To potwierdza, że marka trafiła do właściwej grupy odbiorców na odpowiedniej platformie.</w:t>
      </w:r>
      <w:r w:rsidRPr="00ED0AA8">
        <w:t xml:space="preserve"> </w:t>
      </w:r>
      <w:hyperlink r:id="rId11" w:history="1">
        <w:r w:rsidRPr="00035A0D">
          <w:rPr>
            <w:rStyle w:val="Hipercze"/>
            <w:rFonts w:ascii="Century Gothic" w:hAnsi="Century Gothic"/>
            <w:sz w:val="20"/>
            <w:szCs w:val="20"/>
          </w:rPr>
          <w:t>https://vimeo.com/447515971/6b2b883486</w:t>
        </w:r>
      </w:hyperlink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65C4A695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44378542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Zmieniają się preferencje użytkowników w kierunku dystrybucji cyfrowej, a za tym zmienia się ogólny model dystrybucji w tym segmencie. Rośnie popularność gier typu „</w:t>
      </w:r>
      <w:proofErr w:type="spellStart"/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Free</w:t>
      </w:r>
      <w:proofErr w:type="spellEnd"/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Play”, w które możemy grać bezpłatnie w zamian za oglądanie reklam. Aż 8 na 10 użytkowników chce zapoznać się z promowanym produktem w zamian za dodatkowe bonusy w grze</w:t>
      </w:r>
      <w:r w:rsidRPr="006665AF">
        <w:rPr>
          <w:rStyle w:val="Odwoanieprzypisudolnego"/>
          <w:rFonts w:ascii="Century Gothic" w:hAnsi="Century Gothic"/>
          <w:i/>
          <w:iCs/>
          <w:color w:val="000000" w:themeColor="text1"/>
          <w:sz w:val="20"/>
          <w:szCs w:val="20"/>
        </w:rPr>
        <w:footnoteReference w:id="4"/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>Co więcej</w:t>
      </w:r>
      <w:r w:rsidRPr="006665AF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, </w:t>
      </w:r>
      <w:r w:rsidRPr="00D57546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według badań gracze zwracają uwagę na reklamy częściej w </w:t>
      </w:r>
      <w:r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mobile </w:t>
      </w:r>
      <w:proofErr w:type="spellStart"/>
      <w:r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>gamingu</w:t>
      </w:r>
      <w:proofErr w:type="spellEnd"/>
      <w:r w:rsidR="00AF57C6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 </w:t>
      </w:r>
      <w:r w:rsidRPr="00D57546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(41 proc.) niż w Internecie (17 proc.). </w:t>
      </w:r>
      <w:r w:rsidRPr="006665AF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Dlatego spoty wideo, w szczególności te z dodatkowymi bonusami, które można odtwarzać w grach są tak popularne, a </w:t>
      </w:r>
      <w:r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 sama </w:t>
      </w:r>
      <w:r w:rsidRPr="00D5754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reklama 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jest wysoce akceptowalna przez użytkowników, ponieważ pomagają im uzyskać zamierzone cele. Widoczność materiałów promocyjnych oscyluje na poziomie nawet 99 proc.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–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wyjaśnia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Michał Giera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CEO,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Mobiem</w:t>
      </w:r>
      <w:proofErr w:type="spellEnd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Polska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</w:p>
    <w:p w14:paraId="21001ABB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C0E450A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72AEBE7F" wp14:editId="34CF11C9">
            <wp:extent cx="2771388" cy="1351763"/>
            <wp:effectExtent l="0" t="0" r="0" b="0"/>
            <wp:docPr id="3" name="Obraz 3" descr="Obraz zawierający tekst, monitor, wewnątrz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monitor, wewnątrz, sprzęt elektroniczny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59" cy="136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5AF">
        <w:rPr>
          <w:rFonts w:ascii="Century Gothic" w:hAnsi="Century Gothic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06EA2B68" wp14:editId="608FF106">
            <wp:extent cx="2804891" cy="1316437"/>
            <wp:effectExtent l="0" t="0" r="1905" b="4445"/>
            <wp:docPr id="2" name="Obraz 2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sprzęt elektroniczny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686" cy="132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4096" w14:textId="77777777" w:rsidR="009418F8" w:rsidRDefault="009418F8" w:rsidP="009418F8">
      <w:pPr>
        <w:jc w:val="both"/>
      </w:pPr>
    </w:p>
    <w:p w14:paraId="15699DED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Dettol</w:t>
      </w:r>
      <w:proofErr w:type="spellEnd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– angażująca </w:t>
      </w:r>
      <w:r w:rsidRPr="00D57546">
        <w:rPr>
          <w:rFonts w:ascii="Century Gothic" w:hAnsi="Century Gothic"/>
          <w:b/>
          <w:bCs/>
          <w:color w:val="000000" w:themeColor="text1"/>
          <w:sz w:val="20"/>
          <w:szCs w:val="20"/>
        </w:rPr>
        <w:t>reklama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w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mobile </w:t>
      </w:r>
      <w:proofErr w:type="spellStart"/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gamingu</w:t>
      </w:r>
      <w:proofErr w:type="spellEnd"/>
    </w:p>
    <w:p w14:paraId="0FDC4200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0FDCB69F" w14:textId="00892A86" w:rsidR="009418F8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Dobrym przykładem jest również marka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Dettol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>, która w czerwcu ubiegłego roku zrealizowała kampanię, której celem by</w:t>
      </w:r>
      <w:r>
        <w:rPr>
          <w:rFonts w:ascii="Century Gothic" w:hAnsi="Century Gothic"/>
          <w:color w:val="000000" w:themeColor="text1"/>
          <w:sz w:val="20"/>
          <w:szCs w:val="20"/>
        </w:rPr>
        <w:t>ło zwiększenie wiedzy na temat k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>oronawirusa, a także zachęcenie do zwiększonej higieny rąk. Po obejrzeniu krótkie</w:t>
      </w:r>
      <w:r>
        <w:rPr>
          <w:rFonts w:ascii="Century Gothic" w:hAnsi="Century Gothic"/>
          <w:color w:val="000000" w:themeColor="text1"/>
          <w:sz w:val="20"/>
          <w:szCs w:val="20"/>
        </w:rPr>
        <w:t>go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filmu, użytkownicy mogli zetrzeć z ekranu mydło, by następ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nie odpowiedzieć na kilka pytań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>w formie prawda/fałsz na temat błędnych informacji dotyczących COVID-19. Na koniec, marka zachęcała do dzielenia się wynikami z najb</w:t>
      </w:r>
      <w:r>
        <w:rPr>
          <w:rFonts w:ascii="Century Gothic" w:hAnsi="Century Gothic"/>
          <w:color w:val="000000" w:themeColor="text1"/>
          <w:sz w:val="20"/>
          <w:szCs w:val="20"/>
        </w:rPr>
        <w:t>liższymi za pośrednictwem WhatsA</w:t>
      </w:r>
      <w:r w:rsidR="00A17EA8">
        <w:rPr>
          <w:rFonts w:ascii="Century Gothic" w:hAnsi="Century Gothic"/>
          <w:color w:val="000000" w:themeColor="text1"/>
          <w:sz w:val="20"/>
          <w:szCs w:val="20"/>
        </w:rPr>
        <w:t xml:space="preserve">pp. Elementem,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który </w:t>
      </w:r>
      <w:r>
        <w:rPr>
          <w:rFonts w:ascii="Century Gothic" w:hAnsi="Century Gothic"/>
          <w:color w:val="000000" w:themeColor="text1"/>
          <w:sz w:val="20"/>
          <w:szCs w:val="20"/>
        </w:rPr>
        <w:t>wywołał największe zaangażowanie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było przecieranie ekranu, aby pozbyć się zarazków</w:t>
      </w:r>
      <w:r w:rsidRPr="00B77C43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2156A337" w14:textId="77777777" w:rsidR="009418F8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3C04A54" w14:textId="77777777" w:rsidR="009418F8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2F027B8" w14:textId="77777777" w:rsidR="009418F8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6230A851" w14:textId="77777777" w:rsidR="009418F8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7FB60988" w14:textId="77777777" w:rsidR="009418F8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0598AC02" w14:textId="77777777" w:rsidR="009418F8" w:rsidRPr="009418F8" w:rsidRDefault="009418F8" w:rsidP="009418F8">
      <w:pPr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77C43">
        <w:rPr>
          <w:rFonts w:ascii="Century Gothic" w:hAnsi="Century Gothic"/>
          <w:iCs/>
          <w:color w:val="000000" w:themeColor="text1"/>
          <w:sz w:val="20"/>
          <w:szCs w:val="20"/>
        </w:rPr>
        <w:t xml:space="preserve">Efekt tej kampanii pokazał dwie nieprawdziwe informacje, które powszechnie krążyły wśród społeczności. Pierwsza z nich dotyczyła tego, że dzieci nie mogą zarazić się wirusem, druga – że określona dieta może zapobiec zakażeniu. </w:t>
      </w:r>
      <w:hyperlink r:id="rId14" w:history="1">
        <w:r w:rsidRPr="00B77C43">
          <w:rPr>
            <w:rStyle w:val="Hipercze"/>
            <w:rFonts w:ascii="Century Gothic" w:hAnsi="Century Gothic"/>
            <w:bCs/>
            <w:sz w:val="20"/>
            <w:szCs w:val="20"/>
          </w:rPr>
          <w:t>https://vimeo.com/417545927/f128fad7fe</w:t>
        </w:r>
      </w:hyperlink>
    </w:p>
    <w:p w14:paraId="4D0B771B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b/>
          <w:bCs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0D1E4E85" wp14:editId="5EB707E6">
            <wp:extent cx="5756910" cy="2952750"/>
            <wp:effectExtent l="0" t="0" r="0" b="6350"/>
            <wp:docPr id="4" name="Obraz 4" descr="Obraz zawierający tekst, monitor, iPod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monitor, iPod, sprzęt elektroniczny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4BF2" w14:textId="77777777" w:rsidR="00A17EA8" w:rsidRDefault="00A17EA8" w:rsidP="009418F8">
      <w:pPr>
        <w:jc w:val="both"/>
      </w:pPr>
    </w:p>
    <w:p w14:paraId="4BE5315B" w14:textId="77777777" w:rsidR="009418F8" w:rsidRPr="00B77C43" w:rsidRDefault="009418F8" w:rsidP="009418F8">
      <w:pPr>
        <w:jc w:val="both"/>
      </w:pPr>
      <w:r>
        <w:t xml:space="preserve">- </w:t>
      </w:r>
      <w:r w:rsidRPr="00B77C43">
        <w:rPr>
          <w:rFonts w:ascii="Century Gothic" w:hAnsi="Century Gothic"/>
          <w:i/>
          <w:sz w:val="20"/>
        </w:rPr>
        <w:t xml:space="preserve">Rok 2020 był rokiem, w którym </w:t>
      </w:r>
      <w:proofErr w:type="spellStart"/>
      <w:r w:rsidRPr="00B77C43">
        <w:rPr>
          <w:rFonts w:ascii="Century Gothic" w:hAnsi="Century Gothic"/>
          <w:i/>
          <w:sz w:val="20"/>
        </w:rPr>
        <w:t>marketerzy</w:t>
      </w:r>
      <w:proofErr w:type="spellEnd"/>
      <w:r w:rsidRPr="00B77C43">
        <w:rPr>
          <w:rFonts w:ascii="Century Gothic" w:hAnsi="Century Gothic"/>
          <w:i/>
          <w:sz w:val="20"/>
        </w:rPr>
        <w:t xml:space="preserve"> zaczęli zwracać znacznie większą uwagę </w:t>
      </w:r>
      <w:r>
        <w:rPr>
          <w:rFonts w:ascii="Century Gothic" w:hAnsi="Century Gothic"/>
          <w:i/>
          <w:sz w:val="20"/>
        </w:rPr>
        <w:t>na gry mobilne i  środowisko graczy ogólnie</w:t>
      </w:r>
      <w:r w:rsidRPr="00B77C43">
        <w:rPr>
          <w:rFonts w:ascii="Century Gothic" w:hAnsi="Century Gothic"/>
          <w:i/>
          <w:sz w:val="20"/>
        </w:rPr>
        <w:t xml:space="preserve">. </w:t>
      </w:r>
      <w:r w:rsidRPr="00BC5E76">
        <w:rPr>
          <w:rFonts w:ascii="Century Gothic" w:hAnsi="Century Gothic"/>
          <w:i/>
          <w:sz w:val="20"/>
        </w:rPr>
        <w:t>Wygląda na to, że w roku 2021 ten trend zostanie kontynuowany, czego skutkiem będzie jeszcze większa obecność popularnych marek i tytułów gier w każdym aspekcie naszego życia dzięki nowym, mocniejszym telefonom.</w:t>
      </w:r>
      <w:r>
        <w:rPr>
          <w:rFonts w:ascii="Century Gothic" w:hAnsi="Century Gothic"/>
          <w:i/>
          <w:sz w:val="20"/>
        </w:rPr>
        <w:t xml:space="preserve"> Według badań 46 proc.</w:t>
      </w:r>
      <w:r w:rsidRPr="00B77C43">
        <w:rPr>
          <w:rFonts w:ascii="Century Gothic" w:hAnsi="Century Gothic"/>
          <w:i/>
          <w:sz w:val="20"/>
        </w:rPr>
        <w:t xml:space="preserve"> twórców gier uważa, że </w:t>
      </w:r>
      <w:r w:rsidRPr="00B77C43">
        <w:rPr>
          <w:rFonts w:ascii="Arial" w:hAnsi="Arial" w:cs="Arial"/>
          <w:i/>
          <w:sz w:val="20"/>
        </w:rPr>
        <w:t>​​</w:t>
      </w:r>
      <w:r w:rsidRPr="00B77C43">
        <w:rPr>
          <w:rFonts w:ascii="Century Gothic" w:hAnsi="Century Gothic"/>
          <w:i/>
          <w:sz w:val="20"/>
        </w:rPr>
        <w:t>reklamy w grach przynios</w:t>
      </w:r>
      <w:r w:rsidRPr="00B77C43">
        <w:rPr>
          <w:rFonts w:ascii="Century Gothic" w:hAnsi="Century Gothic" w:cs="Century Gothic"/>
          <w:i/>
          <w:sz w:val="20"/>
        </w:rPr>
        <w:t>ą</w:t>
      </w:r>
      <w:r w:rsidRPr="00B77C43">
        <w:rPr>
          <w:rFonts w:ascii="Century Gothic" w:hAnsi="Century Gothic"/>
          <w:i/>
          <w:sz w:val="20"/>
        </w:rPr>
        <w:t xml:space="preserve"> najwi</w:t>
      </w:r>
      <w:r w:rsidRPr="00B77C43">
        <w:rPr>
          <w:rFonts w:ascii="Century Gothic" w:hAnsi="Century Gothic" w:cs="Century Gothic"/>
          <w:i/>
          <w:sz w:val="20"/>
        </w:rPr>
        <w:t>ę</w:t>
      </w:r>
      <w:r w:rsidRPr="00B77C43">
        <w:rPr>
          <w:rFonts w:ascii="Century Gothic" w:hAnsi="Century Gothic"/>
          <w:i/>
          <w:sz w:val="20"/>
        </w:rPr>
        <w:t>kszy zwrot przychod</w:t>
      </w:r>
      <w:r w:rsidRPr="00B77C43">
        <w:rPr>
          <w:rFonts w:ascii="Century Gothic" w:hAnsi="Century Gothic" w:cs="Century Gothic"/>
          <w:i/>
          <w:sz w:val="20"/>
        </w:rPr>
        <w:t>ó</w:t>
      </w:r>
      <w:r w:rsidRPr="00B77C43">
        <w:rPr>
          <w:rFonts w:ascii="Century Gothic" w:hAnsi="Century Gothic"/>
          <w:i/>
          <w:sz w:val="20"/>
        </w:rPr>
        <w:t>w w 2021 roku. Oczekuje si</w:t>
      </w:r>
      <w:r w:rsidRPr="00B77C43">
        <w:rPr>
          <w:rFonts w:ascii="Century Gothic" w:hAnsi="Century Gothic" w:cs="Century Gothic"/>
          <w:i/>
          <w:sz w:val="20"/>
        </w:rPr>
        <w:t>ę</w:t>
      </w:r>
      <w:r w:rsidRPr="00B77C43">
        <w:rPr>
          <w:rFonts w:ascii="Century Gothic" w:hAnsi="Century Gothic"/>
          <w:i/>
          <w:sz w:val="20"/>
        </w:rPr>
        <w:t xml:space="preserve">, </w:t>
      </w:r>
      <w:r w:rsidRPr="00B77C43">
        <w:rPr>
          <w:rFonts w:ascii="Century Gothic" w:hAnsi="Century Gothic" w:cs="Century Gothic"/>
          <w:i/>
          <w:sz w:val="20"/>
        </w:rPr>
        <w:t>ż</w:t>
      </w:r>
      <w:r w:rsidRPr="00B77C43">
        <w:rPr>
          <w:rFonts w:ascii="Century Gothic" w:hAnsi="Century Gothic"/>
          <w:i/>
          <w:sz w:val="20"/>
        </w:rPr>
        <w:t>e globalne wydatki na reklamy mobilne</w:t>
      </w:r>
      <w:r>
        <w:rPr>
          <w:rFonts w:ascii="Century Gothic" w:hAnsi="Century Gothic"/>
          <w:i/>
          <w:sz w:val="20"/>
        </w:rPr>
        <w:t xml:space="preserve"> w tym roku</w:t>
      </w:r>
      <w:r w:rsidRPr="00B77C43">
        <w:rPr>
          <w:rFonts w:ascii="Century Gothic" w:hAnsi="Century Gothic"/>
          <w:i/>
          <w:sz w:val="20"/>
        </w:rPr>
        <w:t xml:space="preserve"> osi</w:t>
      </w:r>
      <w:r w:rsidRPr="00B77C43">
        <w:rPr>
          <w:rFonts w:ascii="Century Gothic" w:hAnsi="Century Gothic" w:cs="Century Gothic"/>
          <w:i/>
          <w:sz w:val="20"/>
        </w:rPr>
        <w:t>ą</w:t>
      </w:r>
      <w:r w:rsidRPr="00B77C43">
        <w:rPr>
          <w:rFonts w:ascii="Century Gothic" w:hAnsi="Century Gothic"/>
          <w:i/>
          <w:sz w:val="20"/>
        </w:rPr>
        <w:t>gn</w:t>
      </w:r>
      <w:r w:rsidRPr="00B77C43">
        <w:rPr>
          <w:rFonts w:ascii="Century Gothic" w:hAnsi="Century Gothic" w:cs="Century Gothic"/>
          <w:i/>
          <w:sz w:val="20"/>
        </w:rPr>
        <w:t>ą</w:t>
      </w:r>
      <w:r w:rsidRPr="00B77C43">
        <w:rPr>
          <w:rFonts w:ascii="Century Gothic" w:hAnsi="Century Gothic"/>
          <w:i/>
          <w:sz w:val="20"/>
        </w:rPr>
        <w:t xml:space="preserve"> 290 miliard</w:t>
      </w:r>
      <w:r w:rsidRPr="00B77C43">
        <w:rPr>
          <w:rFonts w:ascii="Century Gothic" w:hAnsi="Century Gothic" w:cs="Century Gothic"/>
          <w:i/>
          <w:sz w:val="20"/>
        </w:rPr>
        <w:t>ó</w:t>
      </w:r>
      <w:r w:rsidRPr="00B77C43">
        <w:rPr>
          <w:rFonts w:ascii="Century Gothic" w:hAnsi="Century Gothic"/>
          <w:i/>
          <w:sz w:val="20"/>
        </w:rPr>
        <w:t>w dolar</w:t>
      </w:r>
      <w:r w:rsidRPr="00B77C43">
        <w:rPr>
          <w:rFonts w:ascii="Century Gothic" w:hAnsi="Century Gothic" w:cs="Century Gothic"/>
          <w:i/>
          <w:sz w:val="20"/>
        </w:rPr>
        <w:t>ó</w:t>
      </w:r>
      <w:r>
        <w:rPr>
          <w:rFonts w:ascii="Century Gothic" w:hAnsi="Century Gothic"/>
          <w:i/>
          <w:sz w:val="20"/>
        </w:rPr>
        <w:t xml:space="preserve">w. </w:t>
      </w:r>
      <w:r w:rsidRPr="00B77C43">
        <w:rPr>
          <w:rFonts w:ascii="Century Gothic" w:hAnsi="Century Gothic"/>
          <w:i/>
          <w:sz w:val="20"/>
        </w:rPr>
        <w:t>W zwi</w:t>
      </w:r>
      <w:r w:rsidRPr="00B77C43">
        <w:rPr>
          <w:rFonts w:ascii="Century Gothic" w:hAnsi="Century Gothic" w:cs="Century Gothic"/>
          <w:i/>
          <w:sz w:val="20"/>
        </w:rPr>
        <w:t>ą</w:t>
      </w:r>
      <w:r w:rsidRPr="00B77C43">
        <w:rPr>
          <w:rFonts w:ascii="Century Gothic" w:hAnsi="Century Gothic"/>
          <w:i/>
          <w:sz w:val="20"/>
        </w:rPr>
        <w:t>zku z tym mog</w:t>
      </w:r>
      <w:r w:rsidRPr="00B77C43">
        <w:rPr>
          <w:rFonts w:ascii="Century Gothic" w:hAnsi="Century Gothic" w:cs="Century Gothic"/>
          <w:i/>
          <w:sz w:val="20"/>
        </w:rPr>
        <w:t>ę</w:t>
      </w:r>
      <w:r w:rsidRPr="00B77C43">
        <w:rPr>
          <w:rFonts w:ascii="Century Gothic" w:hAnsi="Century Gothic"/>
          <w:i/>
          <w:sz w:val="20"/>
        </w:rPr>
        <w:t xml:space="preserve"> zdecydowanie powiedzieć, że będziemy mieli pracowity i produktywny rok jako </w:t>
      </w:r>
      <w:proofErr w:type="spellStart"/>
      <w:r w:rsidRPr="00B77C43">
        <w:rPr>
          <w:rFonts w:ascii="Century Gothic" w:hAnsi="Century Gothic"/>
          <w:i/>
          <w:sz w:val="20"/>
        </w:rPr>
        <w:t>AdColony</w:t>
      </w:r>
      <w:proofErr w:type="spellEnd"/>
      <w:r w:rsidRPr="00B77C43">
        <w:rPr>
          <w:rFonts w:ascii="Century Gothic" w:hAnsi="Century Gothic"/>
          <w:sz w:val="20"/>
        </w:rPr>
        <w:t xml:space="preserve">  -  </w:t>
      </w:r>
      <w:r w:rsidRPr="00B77C43">
        <w:rPr>
          <w:rFonts w:ascii="Century Gothic" w:hAnsi="Century Gothic"/>
          <w:b/>
          <w:sz w:val="20"/>
        </w:rPr>
        <w:t xml:space="preserve">mówi </w:t>
      </w:r>
      <w:proofErr w:type="spellStart"/>
      <w:r w:rsidRPr="00B77C43">
        <w:rPr>
          <w:rFonts w:ascii="Century Gothic" w:hAnsi="Century Gothic"/>
          <w:b/>
          <w:sz w:val="20"/>
        </w:rPr>
        <w:t>Warrick</w:t>
      </w:r>
      <w:proofErr w:type="spellEnd"/>
      <w:r w:rsidRPr="00B77C43">
        <w:rPr>
          <w:rFonts w:ascii="Century Gothic" w:hAnsi="Century Gothic"/>
          <w:b/>
          <w:sz w:val="20"/>
        </w:rPr>
        <w:t xml:space="preserve"> </w:t>
      </w:r>
      <w:proofErr w:type="spellStart"/>
      <w:r w:rsidRPr="00B77C43">
        <w:rPr>
          <w:rFonts w:ascii="Century Gothic" w:hAnsi="Century Gothic"/>
          <w:b/>
          <w:sz w:val="20"/>
        </w:rPr>
        <w:t>Billingham</w:t>
      </w:r>
      <w:proofErr w:type="spellEnd"/>
      <w:r w:rsidRPr="00B77C43">
        <w:rPr>
          <w:rFonts w:ascii="Century Gothic" w:hAnsi="Century Gothic"/>
          <w:b/>
          <w:sz w:val="20"/>
        </w:rPr>
        <w:t xml:space="preserve">, dyrektor generalny </w:t>
      </w:r>
      <w:proofErr w:type="spellStart"/>
      <w:r w:rsidRPr="00B77C43">
        <w:rPr>
          <w:rFonts w:ascii="Century Gothic" w:hAnsi="Century Gothic"/>
          <w:b/>
          <w:sz w:val="20"/>
        </w:rPr>
        <w:t>AdColony</w:t>
      </w:r>
      <w:proofErr w:type="spellEnd"/>
      <w:r w:rsidRPr="00B77C43">
        <w:rPr>
          <w:rFonts w:ascii="Century Gothic" w:hAnsi="Century Gothic"/>
          <w:b/>
          <w:sz w:val="20"/>
        </w:rPr>
        <w:t>, EMEA i LATAM.</w:t>
      </w:r>
    </w:p>
    <w:p w14:paraId="32A35523" w14:textId="77777777" w:rsidR="009418F8" w:rsidRDefault="009418F8" w:rsidP="009418F8">
      <w:pPr>
        <w:jc w:val="both"/>
      </w:pPr>
    </w:p>
    <w:p w14:paraId="3F05FAD4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Mit 2. W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grach mobilnych 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nie znajdę swojej grupy docelowej</w:t>
      </w:r>
    </w:p>
    <w:p w14:paraId="63746C0F" w14:textId="77777777" w:rsidR="009418F8" w:rsidRPr="006665AF" w:rsidRDefault="009418F8" w:rsidP="009418F8">
      <w:pPr>
        <w:tabs>
          <w:tab w:val="left" w:pos="6112"/>
        </w:tabs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04625B83" w14:textId="77777777" w:rsidR="009418F8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Liczba </w:t>
      </w:r>
      <w:proofErr w:type="spellStart"/>
      <w:r>
        <w:rPr>
          <w:rFonts w:ascii="Century Gothic" w:hAnsi="Century Gothic"/>
          <w:color w:val="000000" w:themeColor="text1"/>
          <w:sz w:val="20"/>
          <w:szCs w:val="20"/>
        </w:rPr>
        <w:t>gamerów</w:t>
      </w:r>
      <w:proofErr w:type="spellEnd"/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>na świecie stale rośnie. W 2020 szacowano, że wyniesie do 2,6 mld, a blisko 38 proc. z nich będzie płacić za gry.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0168B0">
        <w:rPr>
          <w:rFonts w:ascii="Century Gothic" w:hAnsi="Century Gothic"/>
          <w:color w:val="000000" w:themeColor="text1"/>
          <w:sz w:val="20"/>
          <w:szCs w:val="20"/>
        </w:rPr>
        <w:t>W Polsce, pośród ponad 11 milionowej grupy aktywnych graczy, niewątpliwym atutem jest duży przekrój wiekowy użytkowników.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Od reprezentantów pokolenia Z, któ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rzy stanowią w Polsce około 22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>proc. wszystkic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h </w:t>
      </w:r>
      <w:proofErr w:type="spellStart"/>
      <w:r>
        <w:rPr>
          <w:rFonts w:ascii="Century Gothic" w:hAnsi="Century Gothic"/>
          <w:color w:val="000000" w:themeColor="text1"/>
          <w:sz w:val="20"/>
          <w:szCs w:val="20"/>
        </w:rPr>
        <w:t>userów</w:t>
      </w:r>
      <w:proofErr w:type="spellEnd"/>
      <w:r>
        <w:rPr>
          <w:rFonts w:ascii="Century Gothic" w:hAnsi="Century Gothic"/>
          <w:color w:val="000000" w:themeColor="text1"/>
          <w:sz w:val="20"/>
          <w:szCs w:val="20"/>
        </w:rPr>
        <w:t xml:space="preserve">, ale przede wszystkim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osób dojrzałych w wieku 24-35 lat, którzy regularnie grają w gry na swoim smartfonie. Jeśli dodamy do tego czas spędzony przed telefonem,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który w dobie pandemii znacząco 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>się wydłużył to środowisk</w:t>
      </w:r>
      <w:r>
        <w:rPr>
          <w:rFonts w:ascii="Century Gothic" w:hAnsi="Century Gothic"/>
          <w:color w:val="000000" w:themeColor="text1"/>
          <w:sz w:val="20"/>
          <w:szCs w:val="20"/>
        </w:rPr>
        <w:t>o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gamingowe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staje się idealnym miejscem do promowania produktów i usług.</w:t>
      </w:r>
    </w:p>
    <w:p w14:paraId="4C5D5ED2" w14:textId="77777777" w:rsidR="009418F8" w:rsidRDefault="009418F8">
      <w:pPr>
        <w:spacing w:after="200" w:line="276" w:lineRule="auto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br w:type="page"/>
      </w:r>
    </w:p>
    <w:p w14:paraId="350B7AE7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476B6E1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295289BD" w14:textId="77777777" w:rsidR="009418F8" w:rsidRDefault="009418F8" w:rsidP="009418F8">
      <w:pPr>
        <w:jc w:val="both"/>
        <w:rPr>
          <w:rFonts w:ascii="Century Gothic" w:hAnsi="Century Gothic" w:cs="Arial"/>
          <w:b/>
          <w:bCs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Warto dodać, że ostatnie badania pokazują, że panie w przestrzeni gier odnajdują się tak samo dobrze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,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jak panowie. B</w:t>
      </w:r>
      <w:r w:rsidRPr="006665AF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>lisko 7 na 10 użytkowników mob</w:t>
      </w:r>
      <w:r w:rsidR="00FD22F2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ile </w:t>
      </w:r>
      <w:proofErr w:type="spellStart"/>
      <w:r w:rsidR="00FD22F2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>gamingu</w:t>
      </w:r>
      <w:proofErr w:type="spellEnd"/>
      <w:r w:rsidR="00FD22F2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 w Europie to płeć piękna</w:t>
      </w:r>
      <w:r w:rsidRPr="006665AF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>.</w:t>
      </w:r>
      <w:r w:rsidRPr="006665AF">
        <w:rPr>
          <w:rStyle w:val="Odwoanieprzypisudolnego"/>
          <w:rFonts w:ascii="Century Gothic" w:hAnsi="Century Gothic" w:cs="Arial"/>
          <w:i/>
          <w:iCs/>
          <w:color w:val="000000" w:themeColor="text1"/>
          <w:sz w:val="20"/>
          <w:szCs w:val="20"/>
        </w:rPr>
        <w:footnoteReference w:id="5"/>
      </w:r>
      <w:r w:rsidRPr="006665AF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 W Polsce proporcja ta wygląda następująco - </w:t>
      </w:r>
      <w:r w:rsidR="00BC02A6">
        <w:rPr>
          <w:rFonts w:ascii="Century Gothic" w:hAnsi="Century Gothic"/>
          <w:i/>
          <w:iCs/>
          <w:color w:val="000000" w:themeColor="text1"/>
          <w:sz w:val="20"/>
          <w:szCs w:val="20"/>
        </w:rPr>
        <w:t>52 proc. stanowią kobiety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>,</w:t>
      </w:r>
      <w:r w:rsidR="00BC02A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natomiast 48 proc. to mężczyźni</w:t>
      </w:r>
      <w:r w:rsidRPr="006665A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 w:rsidRPr="006665AF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Marki, które w porę zauważą ten potencjał mogą zyskać sporą przewagę konkurencyjną w tym środowisku reklamowym. W obecnej chwili można pokusić się o stwierdzenie, </w:t>
      </w:r>
      <w:r w:rsidRPr="00F00EEA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>że marketing mobilny</w:t>
      </w:r>
      <w:r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 w grach dopiero się rozwija i </w:t>
      </w:r>
      <w:r w:rsidRPr="006665AF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>nadal nakierowany</w:t>
      </w:r>
      <w:r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 jest</w:t>
      </w:r>
      <w:r w:rsidRPr="006665AF">
        <w:rPr>
          <w:rFonts w:ascii="Century Gothic" w:hAnsi="Century Gothic" w:cs="Arial"/>
          <w:i/>
          <w:iCs/>
          <w:color w:val="000000" w:themeColor="text1"/>
          <w:sz w:val="20"/>
          <w:szCs w:val="20"/>
        </w:rPr>
        <w:t xml:space="preserve"> na męską publiczność</w:t>
      </w:r>
      <w:r w:rsidRPr="006665AF">
        <w:rPr>
          <w:rFonts w:ascii="Century Gothic" w:hAnsi="Century Gothic" w:cs="Arial"/>
          <w:color w:val="000000" w:themeColor="text1"/>
          <w:sz w:val="20"/>
          <w:szCs w:val="20"/>
        </w:rPr>
        <w:t xml:space="preserve"> – </w:t>
      </w:r>
      <w:r>
        <w:rPr>
          <w:rFonts w:ascii="Century Gothic" w:hAnsi="Century Gothic" w:cs="Arial"/>
          <w:b/>
          <w:bCs/>
          <w:color w:val="000000" w:themeColor="text1"/>
          <w:sz w:val="20"/>
          <w:szCs w:val="20"/>
        </w:rPr>
        <w:t>Magdalena Wą</w:t>
      </w:r>
      <w:r w:rsidRPr="006665AF">
        <w:rPr>
          <w:rFonts w:ascii="Century Gothic" w:hAnsi="Century Gothic" w:cs="Arial"/>
          <w:b/>
          <w:bCs/>
          <w:color w:val="000000" w:themeColor="text1"/>
          <w:sz w:val="20"/>
          <w:szCs w:val="20"/>
        </w:rPr>
        <w:t xml:space="preserve">sikowska- Gal, </w:t>
      </w:r>
      <w:r>
        <w:rPr>
          <w:rFonts w:ascii="Century Gothic" w:hAnsi="Century Gothic" w:cs="Arial"/>
          <w:b/>
          <w:bCs/>
          <w:color w:val="000000" w:themeColor="text1"/>
          <w:sz w:val="20"/>
          <w:szCs w:val="20"/>
        </w:rPr>
        <w:t xml:space="preserve">Manager Operacyjny ds. Marketingu, </w:t>
      </w:r>
      <w:proofErr w:type="spellStart"/>
      <w:r w:rsidRPr="006665AF">
        <w:rPr>
          <w:rFonts w:ascii="Century Gothic" w:hAnsi="Century Gothic" w:cs="Arial"/>
          <w:b/>
          <w:bCs/>
          <w:color w:val="000000" w:themeColor="text1"/>
          <w:sz w:val="20"/>
          <w:szCs w:val="20"/>
        </w:rPr>
        <w:t>Mobiem</w:t>
      </w:r>
      <w:proofErr w:type="spellEnd"/>
      <w:r>
        <w:rPr>
          <w:rFonts w:ascii="Century Gothic" w:hAnsi="Century Gothic" w:cs="Arial"/>
          <w:b/>
          <w:bCs/>
          <w:color w:val="000000" w:themeColor="text1"/>
          <w:sz w:val="20"/>
          <w:szCs w:val="20"/>
        </w:rPr>
        <w:t xml:space="preserve"> Polska</w:t>
      </w:r>
      <w:r w:rsidRPr="006665AF">
        <w:rPr>
          <w:rFonts w:ascii="Century Gothic" w:hAnsi="Century Gothic" w:cs="Arial"/>
          <w:b/>
          <w:bCs/>
          <w:color w:val="000000" w:themeColor="text1"/>
          <w:sz w:val="20"/>
          <w:szCs w:val="20"/>
        </w:rPr>
        <w:t>.</w:t>
      </w:r>
    </w:p>
    <w:p w14:paraId="3BCE506D" w14:textId="77777777" w:rsidR="00A17EA8" w:rsidRDefault="00A17EA8" w:rsidP="009418F8">
      <w:pPr>
        <w:jc w:val="both"/>
        <w:rPr>
          <w:rFonts w:ascii="Century Gothic" w:hAnsi="Century Gothic" w:cs="Arial"/>
          <w:b/>
          <w:bCs/>
          <w:color w:val="000000" w:themeColor="text1"/>
          <w:sz w:val="20"/>
          <w:szCs w:val="20"/>
        </w:rPr>
      </w:pPr>
    </w:p>
    <w:p w14:paraId="63681318" w14:textId="77777777" w:rsidR="009418F8" w:rsidRDefault="009418F8" w:rsidP="009418F8">
      <w:pPr>
        <w:jc w:val="both"/>
        <w:rPr>
          <w:rFonts w:ascii="Century Gothic" w:hAnsi="Century Gothic" w:cs="Arial"/>
          <w:color w:val="000000" w:themeColor="text1"/>
          <w:sz w:val="20"/>
          <w:szCs w:val="20"/>
        </w:rPr>
      </w:pPr>
      <w:r>
        <w:rPr>
          <w:rFonts w:ascii="Century Gothic" w:hAnsi="Century Gothic" w:cs="Arial"/>
          <w:color w:val="000000" w:themeColor="text1"/>
          <w:sz w:val="20"/>
          <w:szCs w:val="20"/>
        </w:rPr>
        <w:t xml:space="preserve">Natomiast </w:t>
      </w:r>
      <w:r w:rsidRPr="004624ED">
        <w:rPr>
          <w:rFonts w:ascii="Century Gothic" w:hAnsi="Century Gothic" w:cs="Arial"/>
          <w:color w:val="000000" w:themeColor="text1"/>
          <w:sz w:val="20"/>
          <w:szCs w:val="20"/>
        </w:rPr>
        <w:t>potencjał</w:t>
      </w:r>
      <w:r>
        <w:rPr>
          <w:rFonts w:ascii="Century Gothic" w:hAnsi="Century Gothic" w:cs="Arial"/>
          <w:color w:val="000000" w:themeColor="text1"/>
          <w:sz w:val="20"/>
          <w:szCs w:val="20"/>
        </w:rPr>
        <w:t xml:space="preserve"> kobiecej grupy docelowej</w:t>
      </w:r>
      <w:r w:rsidRPr="004624ED">
        <w:rPr>
          <w:rFonts w:ascii="Century Gothic" w:hAnsi="Century Gothic" w:cs="Arial"/>
          <w:color w:val="000000" w:themeColor="text1"/>
          <w:sz w:val="20"/>
          <w:szCs w:val="20"/>
        </w:rPr>
        <w:t xml:space="preserve"> wykorzys</w:t>
      </w:r>
      <w:r>
        <w:rPr>
          <w:rFonts w:ascii="Century Gothic" w:hAnsi="Century Gothic" w:cs="Arial"/>
          <w:color w:val="000000" w:themeColor="text1"/>
          <w:sz w:val="20"/>
          <w:szCs w:val="20"/>
        </w:rPr>
        <w:t xml:space="preserve">tuje </w:t>
      </w:r>
      <w:r w:rsidRPr="004624ED">
        <w:rPr>
          <w:rFonts w:ascii="Century Gothic" w:hAnsi="Century Gothic" w:cs="Arial"/>
          <w:color w:val="000000" w:themeColor="text1"/>
          <w:sz w:val="20"/>
          <w:szCs w:val="20"/>
        </w:rPr>
        <w:t xml:space="preserve">marka </w:t>
      </w:r>
      <w:proofErr w:type="spellStart"/>
      <w:r w:rsidRPr="004624ED">
        <w:rPr>
          <w:rFonts w:ascii="Century Gothic" w:hAnsi="Century Gothic" w:cs="Arial"/>
          <w:color w:val="000000" w:themeColor="text1"/>
          <w:sz w:val="20"/>
          <w:szCs w:val="20"/>
        </w:rPr>
        <w:t>L’Oreal</w:t>
      </w:r>
      <w:proofErr w:type="spellEnd"/>
      <w:r>
        <w:rPr>
          <w:rFonts w:ascii="Century Gothic" w:hAnsi="Century Gothic" w:cs="Arial"/>
          <w:color w:val="000000" w:themeColor="text1"/>
          <w:sz w:val="20"/>
          <w:szCs w:val="20"/>
        </w:rPr>
        <w:t xml:space="preserve"> promując przy współpracy z </w:t>
      </w:r>
      <w:proofErr w:type="spellStart"/>
      <w:r>
        <w:rPr>
          <w:rFonts w:ascii="Century Gothic" w:hAnsi="Century Gothic" w:cs="Arial"/>
          <w:color w:val="000000" w:themeColor="text1"/>
          <w:sz w:val="20"/>
          <w:szCs w:val="20"/>
        </w:rPr>
        <w:t>AdColony</w:t>
      </w:r>
      <w:proofErr w:type="spellEnd"/>
      <w:r>
        <w:rPr>
          <w:rFonts w:ascii="Century Gothic" w:hAnsi="Century Gothic" w:cs="Arial"/>
          <w:color w:val="000000" w:themeColor="text1"/>
          <w:sz w:val="20"/>
          <w:szCs w:val="20"/>
        </w:rPr>
        <w:t xml:space="preserve"> wybrane kosmetyki, w tym jeden ze swoich najnowszych produktów Vichy </w:t>
      </w:r>
      <w:proofErr w:type="spellStart"/>
      <w:r>
        <w:rPr>
          <w:rFonts w:ascii="Century Gothic" w:hAnsi="Century Gothic" w:cs="Arial"/>
          <w:color w:val="000000" w:themeColor="text1"/>
          <w:sz w:val="20"/>
          <w:szCs w:val="20"/>
        </w:rPr>
        <w:t>Liftactiv</w:t>
      </w:r>
      <w:proofErr w:type="spellEnd"/>
      <w:r>
        <w:rPr>
          <w:rFonts w:ascii="Century Gothic" w:hAnsi="Century Gothic" w:cs="Arial"/>
          <w:color w:val="000000" w:themeColor="text1"/>
          <w:sz w:val="20"/>
          <w:szCs w:val="20"/>
        </w:rPr>
        <w:t xml:space="preserve"> za pomocą mobilnej kampanii </w:t>
      </w:r>
      <w:r w:rsidRPr="00F00EEA">
        <w:rPr>
          <w:rFonts w:ascii="Century Gothic" w:hAnsi="Century Gothic" w:cs="Arial"/>
          <w:color w:val="000000" w:themeColor="text1"/>
          <w:sz w:val="20"/>
          <w:szCs w:val="20"/>
        </w:rPr>
        <w:t xml:space="preserve">reklamowej </w:t>
      </w:r>
      <w:r>
        <w:rPr>
          <w:rFonts w:ascii="Century Gothic" w:hAnsi="Century Gothic" w:cs="Arial"/>
          <w:color w:val="000000" w:themeColor="text1"/>
          <w:sz w:val="20"/>
          <w:szCs w:val="20"/>
        </w:rPr>
        <w:t xml:space="preserve">w grach, a sam spot obejrzała spora grupa kobiet. </w:t>
      </w:r>
    </w:p>
    <w:p w14:paraId="2AB1592F" w14:textId="77777777" w:rsidR="009418F8" w:rsidRPr="006665AF" w:rsidRDefault="009418F8" w:rsidP="009418F8">
      <w:pPr>
        <w:jc w:val="both"/>
        <w:rPr>
          <w:rFonts w:ascii="Century Gothic" w:hAnsi="Century Gothic" w:cs="Arial"/>
          <w:color w:val="000000" w:themeColor="text1"/>
          <w:sz w:val="20"/>
          <w:szCs w:val="20"/>
        </w:rPr>
      </w:pPr>
    </w:p>
    <w:p w14:paraId="70B73544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Mit 3: Działania reklamowe 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w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mobile </w:t>
      </w:r>
      <w:proofErr w:type="spellStart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gamingu</w:t>
      </w:r>
      <w:proofErr w:type="spellEnd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>trudno mierzyć</w:t>
      </w:r>
      <w:r w:rsidR="00FD22F2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 formaty reklamowe są nowe i trudne do zrealizowania</w:t>
      </w:r>
    </w:p>
    <w:p w14:paraId="3F835FB3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DFB2261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Prawie 7 na 10 badanych </w:t>
      </w:r>
      <w:proofErr w:type="spellStart"/>
      <w:r w:rsidRPr="006665AF">
        <w:rPr>
          <w:rFonts w:ascii="Century Gothic" w:hAnsi="Century Gothic"/>
          <w:color w:val="000000" w:themeColor="text1"/>
          <w:sz w:val="20"/>
          <w:szCs w:val="20"/>
        </w:rPr>
        <w:t>marketerów</w:t>
      </w:r>
      <w:proofErr w:type="spellEnd"/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przyznało, że narzędzie do mierzenia efektywności kampanii jest istotnym czynnikiem, które zachęciłoby ich do korzystania </w:t>
      </w:r>
      <w:r w:rsidRPr="00475A0E">
        <w:rPr>
          <w:rFonts w:ascii="Century Gothic" w:hAnsi="Century Gothic"/>
          <w:color w:val="000000" w:themeColor="text1"/>
          <w:sz w:val="20"/>
          <w:szCs w:val="20"/>
        </w:rPr>
        <w:t xml:space="preserve">z marketingu </w:t>
      </w:r>
      <w:proofErr w:type="spellStart"/>
      <w:r w:rsidRPr="00475A0E">
        <w:rPr>
          <w:rFonts w:ascii="Century Gothic" w:hAnsi="Century Gothic"/>
          <w:color w:val="000000" w:themeColor="text1"/>
          <w:sz w:val="20"/>
          <w:szCs w:val="20"/>
        </w:rPr>
        <w:t>gamingowego</w:t>
      </w:r>
      <w:proofErr w:type="spellEnd"/>
      <w:r w:rsidRPr="00475A0E">
        <w:rPr>
          <w:rFonts w:ascii="Century Gothic" w:hAnsi="Century Gothic"/>
          <w:color w:val="000000" w:themeColor="text1"/>
          <w:sz w:val="20"/>
          <w:szCs w:val="20"/>
        </w:rPr>
        <w:t>.</w:t>
      </w:r>
      <w:r w:rsidRPr="00475A0E">
        <w:rPr>
          <w:rStyle w:val="Odwoanieprzypisudolnego"/>
          <w:rFonts w:ascii="Century Gothic" w:hAnsi="Century Gothic"/>
          <w:color w:val="000000" w:themeColor="text1"/>
          <w:sz w:val="20"/>
          <w:szCs w:val="20"/>
        </w:rPr>
        <w:footnoteReference w:id="6"/>
      </w:r>
      <w:r w:rsidRPr="00475A0E">
        <w:rPr>
          <w:rFonts w:ascii="Century Gothic" w:hAnsi="Century Gothic"/>
          <w:color w:val="000000" w:themeColor="text1"/>
          <w:sz w:val="20"/>
          <w:szCs w:val="20"/>
        </w:rPr>
        <w:t xml:space="preserve"> Zapewne wynika to z faktu, że specjaliści nie wiedzą, że na rynku są</w:t>
      </w:r>
      <w:r w:rsidRPr="006665AF">
        <w:rPr>
          <w:rFonts w:ascii="Century Gothic" w:hAnsi="Century Gothic"/>
          <w:color w:val="000000" w:themeColor="text1"/>
          <w:sz w:val="20"/>
          <w:szCs w:val="20"/>
        </w:rPr>
        <w:t xml:space="preserve"> dostępne narzędzia, które umożliwiają optymalizację kampanii. </w:t>
      </w:r>
    </w:p>
    <w:p w14:paraId="1662C09A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658393DB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C06223"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r w:rsidRPr="00C0622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 praktyce proces od realizacji kampanii w mobile </w:t>
      </w:r>
      <w:proofErr w:type="spellStart"/>
      <w:r w:rsidRPr="00C06223">
        <w:rPr>
          <w:rFonts w:ascii="Century Gothic" w:hAnsi="Century Gothic"/>
          <w:i/>
          <w:iCs/>
          <w:color w:val="000000" w:themeColor="text1"/>
          <w:sz w:val="20"/>
          <w:szCs w:val="20"/>
        </w:rPr>
        <w:t>gamingu</w:t>
      </w:r>
      <w:proofErr w:type="spellEnd"/>
      <w:r w:rsidRPr="00C0622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do jej mierzenia jest prosty i przejrzysty. </w:t>
      </w:r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 xml:space="preserve">W zasadzie jest analogiczny do kampanii </w:t>
      </w:r>
      <w:proofErr w:type="spellStart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>rich</w:t>
      </w:r>
      <w:proofErr w:type="spellEnd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 xml:space="preserve"> media w aplikacjach mobilnych. Z tym wyjątkiem, iż w grach popularnością cieszą się nieinwazyjne formaty </w:t>
      </w:r>
      <w:proofErr w:type="spellStart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>rewarded</w:t>
      </w:r>
      <w:proofErr w:type="spellEnd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 xml:space="preserve">. W mobile </w:t>
      </w:r>
      <w:proofErr w:type="spellStart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>gamingu</w:t>
      </w:r>
      <w:proofErr w:type="spellEnd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 xml:space="preserve"> bardzo istotny jest wybór dostawcy, który posiada odpowiednią technologię emisji oraz oferuje zaawansowane metody profilowania graczy w oparciu o dane 1st i 3rd party. W tworzeniu takich kampanii istotne jest dotarcie do odpowiedniej grupy docelowej, w drugiej kolejności tytuł, w którym emitowana jest reklama. Dostawca powinien posiadać odpowiednie umiejętności w zakresie tworzenia angażujących kreacji </w:t>
      </w:r>
      <w:r>
        <w:rPr>
          <w:rFonts w:ascii="Century Gothic" w:hAnsi="Century Gothic"/>
          <w:i/>
          <w:color w:val="000000" w:themeColor="text1"/>
          <w:sz w:val="20"/>
          <w:szCs w:val="20"/>
        </w:rPr>
        <w:t>reklamowych. Należy pamiętać, że</w:t>
      </w:r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 xml:space="preserve"> w przypadku gier ostatnią oczekiwaną interakcją powinno być  przekierowanie do strony docelowej poza grą. Stąd bardzo istotne jest odpowiednie wykorzystanie każdej możliwości na interakcję w obszarze samego formatu. Najlepsi dostawcy są też transparentni – nie boją się pomiarów, umożliwiają implementację zewnętrznych narzędzi pomiarowych w zakresie </w:t>
      </w:r>
      <w:proofErr w:type="spellStart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>brand</w:t>
      </w:r>
      <w:proofErr w:type="spellEnd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 xml:space="preserve"> </w:t>
      </w:r>
      <w:proofErr w:type="spellStart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>safety</w:t>
      </w:r>
      <w:proofErr w:type="spellEnd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 xml:space="preserve">, </w:t>
      </w:r>
      <w:proofErr w:type="spellStart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>antyfraud</w:t>
      </w:r>
      <w:proofErr w:type="spellEnd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 xml:space="preserve">, </w:t>
      </w:r>
      <w:proofErr w:type="spellStart"/>
      <w:r w:rsidRPr="00C06223">
        <w:rPr>
          <w:rFonts w:ascii="Century Gothic" w:hAnsi="Century Gothic"/>
          <w:i/>
          <w:color w:val="000000" w:themeColor="text1"/>
          <w:sz w:val="20"/>
          <w:szCs w:val="20"/>
        </w:rPr>
        <w:t>viewability</w:t>
      </w:r>
      <w:proofErr w:type="spellEnd"/>
      <w:r w:rsidRPr="00C062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C06223">
        <w:rPr>
          <w:rFonts w:ascii="Century Gothic" w:hAnsi="Century Gothic"/>
          <w:b/>
          <w:bCs/>
          <w:color w:val="000000" w:themeColor="text1"/>
          <w:sz w:val="20"/>
          <w:szCs w:val="20"/>
        </w:rPr>
        <w:t>–</w:t>
      </w:r>
      <w:r w:rsidRPr="006665A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 wyjaśnia Michał Giera,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CEO, </w:t>
      </w:r>
      <w:proofErr w:type="spellStart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Mobiem</w:t>
      </w:r>
      <w:proofErr w:type="spellEnd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Polska. </w:t>
      </w:r>
    </w:p>
    <w:p w14:paraId="03CC3671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4C514685" w14:textId="77777777" w:rsidR="009418F8" w:rsidRPr="006665AF" w:rsidRDefault="009418F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650B425E" w14:textId="559781BA" w:rsidR="009418F8" w:rsidRPr="00A17EA8" w:rsidRDefault="00A17EA8" w:rsidP="009418F8">
      <w:pPr>
        <w:jc w:val="both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A17EA8">
        <w:rPr>
          <w:rFonts w:ascii="Century Gothic" w:hAnsi="Century Gothic"/>
          <w:b/>
          <w:color w:val="000000" w:themeColor="text1"/>
          <w:sz w:val="20"/>
          <w:szCs w:val="20"/>
        </w:rPr>
        <w:t>Więcej informacji:</w:t>
      </w:r>
    </w:p>
    <w:p w14:paraId="46340B04" w14:textId="77777777" w:rsidR="00A17EA8" w:rsidRDefault="00A17EA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0589E47" w14:textId="32A698D6" w:rsidR="00A17EA8" w:rsidRDefault="00A17EA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Pamela Tomicka</w:t>
      </w:r>
    </w:p>
    <w:p w14:paraId="52BCDE3D" w14:textId="77777777" w:rsidR="00A17EA8" w:rsidRDefault="00A17EA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C4218F1" w14:textId="083C5215" w:rsidR="00A17EA8" w:rsidRDefault="006B3413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hyperlink r:id="rId16" w:history="1">
        <w:r w:rsidR="00A17EA8" w:rsidRPr="00BE768B">
          <w:rPr>
            <w:rStyle w:val="Hipercze"/>
            <w:rFonts w:ascii="Century Gothic" w:hAnsi="Century Gothic"/>
            <w:sz w:val="20"/>
            <w:szCs w:val="20"/>
          </w:rPr>
          <w:t>p.tomicka@lightscape.pl</w:t>
        </w:r>
      </w:hyperlink>
    </w:p>
    <w:p w14:paraId="4EC3AF2A" w14:textId="77777777" w:rsidR="00A17EA8" w:rsidRDefault="00A17EA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0D25A402" w14:textId="5C564574" w:rsidR="00A17EA8" w:rsidRPr="006665AF" w:rsidRDefault="00A17EA8" w:rsidP="009418F8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proofErr w:type="spellStart"/>
      <w:r>
        <w:rPr>
          <w:rFonts w:ascii="Century Gothic" w:hAnsi="Century Gothic"/>
          <w:color w:val="000000" w:themeColor="text1"/>
          <w:sz w:val="20"/>
          <w:szCs w:val="20"/>
        </w:rPr>
        <w:t>tel</w:t>
      </w:r>
      <w:proofErr w:type="spellEnd"/>
      <w:r>
        <w:rPr>
          <w:rFonts w:ascii="Century Gothic" w:hAnsi="Century Gothic"/>
          <w:color w:val="000000" w:themeColor="text1"/>
          <w:sz w:val="20"/>
          <w:szCs w:val="20"/>
        </w:rPr>
        <w:t xml:space="preserve">: </w:t>
      </w:r>
      <w:r w:rsidRPr="00A17EA8">
        <w:rPr>
          <w:rFonts w:ascii="Century Gothic" w:hAnsi="Century Gothic"/>
          <w:color w:val="000000" w:themeColor="text1"/>
          <w:sz w:val="20"/>
          <w:szCs w:val="20"/>
          <w:lang w:val="en-GB"/>
        </w:rPr>
        <w:t>601 918 306</w:t>
      </w:r>
    </w:p>
    <w:p w14:paraId="7BFDF91F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94B0675" w14:textId="77777777" w:rsidR="009418F8" w:rsidRPr="006665AF" w:rsidRDefault="009418F8" w:rsidP="009418F8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E439B6F" w14:textId="77777777" w:rsidR="009418F8" w:rsidRPr="001E2615" w:rsidRDefault="009418F8" w:rsidP="001E2615">
      <w:pPr>
        <w:tabs>
          <w:tab w:val="left" w:pos="1034"/>
        </w:tabs>
        <w:jc w:val="both"/>
        <w:rPr>
          <w:rFonts w:ascii="Century Gothic" w:hAnsi="Century Gothic"/>
          <w:color w:val="000000" w:themeColor="text1"/>
          <w:sz w:val="18"/>
          <w:szCs w:val="18"/>
        </w:rPr>
      </w:pPr>
    </w:p>
    <w:sectPr w:rsidR="009418F8" w:rsidRPr="001E261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5D70D7" w14:textId="77777777" w:rsidR="006B3413" w:rsidRDefault="006B3413" w:rsidP="00DA7E7B">
      <w:r>
        <w:separator/>
      </w:r>
    </w:p>
  </w:endnote>
  <w:endnote w:type="continuationSeparator" w:id="0">
    <w:p w14:paraId="571DF560" w14:textId="77777777" w:rsidR="006B3413" w:rsidRDefault="006B3413" w:rsidP="00DA7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limbachItcTEE">
    <w:altName w:val="Courier New"/>
    <w:panose1 w:val="00000000000000000000"/>
    <w:charset w:val="00"/>
    <w:family w:val="decorative"/>
    <w:notTrueType/>
    <w:pitch w:val="variable"/>
    <w:sig w:usb0="00000007" w:usb1="00000000" w:usb2="00000000" w:usb3="00000000" w:csb0="0000008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2CABE" w14:textId="77777777" w:rsidR="00DA7E7B" w:rsidRPr="00DA7E7B" w:rsidRDefault="00DA7E7B" w:rsidP="00DA7E7B">
    <w:pPr>
      <w:shd w:val="clear" w:color="auto" w:fill="FFFFFF"/>
      <w:rPr>
        <w:rFonts w:ascii="Cambria" w:hAnsi="Cambria"/>
        <w:b/>
        <w:color w:val="000000"/>
        <w:lang w:eastAsia="pl-PL"/>
      </w:rPr>
    </w:pPr>
    <w:r w:rsidRPr="00DA7E7B">
      <w:rPr>
        <w:rFonts w:ascii="Cambria" w:hAnsi="Cambria"/>
        <w:b/>
        <w:color w:val="000000"/>
        <w:lang w:eastAsia="pl-PL"/>
      </w:rPr>
      <w:t>MOBIEM POLSKA Sp. z o.o. sp.k.</w:t>
    </w:r>
  </w:p>
  <w:p w14:paraId="2BA8BA2F" w14:textId="77777777" w:rsidR="00DA7E7B" w:rsidRDefault="00DA7E7B" w:rsidP="00DA7E7B">
    <w:pPr>
      <w:shd w:val="clear" w:color="auto" w:fill="FFFFFF"/>
      <w:rPr>
        <w:rFonts w:ascii="Cambria" w:hAnsi="Cambria"/>
        <w:color w:val="000000"/>
        <w:lang w:eastAsia="pl-PL"/>
      </w:rPr>
    </w:pPr>
  </w:p>
  <w:p w14:paraId="02FB6AC7" w14:textId="77777777" w:rsidR="00DA7E7B" w:rsidRPr="00DA7E7B" w:rsidRDefault="00DA7E7B" w:rsidP="00DA7E7B">
    <w:pPr>
      <w:shd w:val="clear" w:color="auto" w:fill="FFFFFF"/>
      <w:rPr>
        <w:rFonts w:ascii="Cambria" w:hAnsi="Cambria"/>
        <w:color w:val="000000"/>
        <w:sz w:val="20"/>
        <w:lang w:eastAsia="pl-PL"/>
      </w:rPr>
    </w:pPr>
    <w:r w:rsidRPr="00DA7E7B">
      <w:rPr>
        <w:rFonts w:ascii="Cambria" w:hAnsi="Cambria"/>
        <w:color w:val="000000"/>
        <w:sz w:val="20"/>
        <w:lang w:eastAsia="pl-PL"/>
      </w:rPr>
      <w:t xml:space="preserve">ul. Fabryczna 5a,  00-446 Warszawa, </w:t>
    </w:r>
    <w:r w:rsidRPr="00DA7E7B">
      <w:rPr>
        <w:rFonts w:ascii="Cambria" w:eastAsia="Times New Roman" w:hAnsi="Cambria"/>
        <w:color w:val="000000"/>
        <w:sz w:val="20"/>
        <w:lang w:eastAsia="pl-PL"/>
      </w:rPr>
      <w:t>NIP: 524-274-39-60</w:t>
    </w:r>
    <w:r>
      <w:rPr>
        <w:rFonts w:ascii="Cambria" w:eastAsia="Times New Roman" w:hAnsi="Cambria"/>
        <w:color w:val="000000"/>
        <w:sz w:val="20"/>
        <w:lang w:eastAsia="pl-PL"/>
      </w:rPr>
      <w:tab/>
    </w:r>
    <w:r>
      <w:rPr>
        <w:rFonts w:ascii="Cambria" w:eastAsia="Times New Roman" w:hAnsi="Cambria"/>
        <w:color w:val="000000"/>
        <w:sz w:val="20"/>
        <w:lang w:eastAsia="pl-PL"/>
      </w:rPr>
      <w:tab/>
    </w:r>
    <w:r>
      <w:rPr>
        <w:rFonts w:ascii="Cambria" w:eastAsia="Times New Roman" w:hAnsi="Cambria"/>
        <w:color w:val="000000"/>
        <w:sz w:val="20"/>
        <w:lang w:eastAsia="pl-PL"/>
      </w:rPr>
      <w:tab/>
      <w:t xml:space="preserve">         </w:t>
    </w:r>
    <w:r w:rsidRPr="00DA7E7B">
      <w:rPr>
        <w:rFonts w:ascii="Cambria" w:eastAsia="Times New Roman" w:hAnsi="Cambria"/>
        <w:color w:val="000000"/>
        <w:sz w:val="20"/>
        <w:lang w:eastAsia="pl-PL"/>
      </w:rPr>
      <w:t xml:space="preserve">telefon: </w:t>
    </w:r>
    <w:r w:rsidRPr="00DA7E7B">
      <w:rPr>
        <w:rFonts w:ascii="Cambria" w:hAnsi="Cambria"/>
        <w:color w:val="000000"/>
        <w:sz w:val="20"/>
        <w:lang w:eastAsia="pl-PL"/>
      </w:rPr>
      <w:t>+48 22 595 16 13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470A2" w14:textId="77777777" w:rsidR="006B3413" w:rsidRDefault="006B3413" w:rsidP="00DA7E7B">
      <w:r>
        <w:separator/>
      </w:r>
    </w:p>
  </w:footnote>
  <w:footnote w:type="continuationSeparator" w:id="0">
    <w:p w14:paraId="529C7518" w14:textId="77777777" w:rsidR="006B3413" w:rsidRDefault="006B3413" w:rsidP="00DA7E7B">
      <w:r>
        <w:continuationSeparator/>
      </w:r>
    </w:p>
  </w:footnote>
  <w:footnote w:id="1">
    <w:p w14:paraId="6F5E98A2" w14:textId="77777777" w:rsidR="009418F8" w:rsidRPr="009418F8" w:rsidRDefault="009418F8" w:rsidP="009418F8">
      <w:pPr>
        <w:rPr>
          <w:rFonts w:ascii="Century Gothic" w:eastAsia="Times New Roman" w:hAnsi="Century Gothic" w:cstheme="minorHAnsi"/>
          <w:sz w:val="12"/>
          <w:szCs w:val="16"/>
          <w:lang w:val="en-US" w:eastAsia="pl-PL"/>
        </w:rPr>
      </w:pPr>
      <w:r w:rsidRPr="009418F8">
        <w:rPr>
          <w:rStyle w:val="Odwoanieprzypisudolnego"/>
          <w:rFonts w:cstheme="minorHAnsi"/>
          <w:sz w:val="12"/>
          <w:szCs w:val="16"/>
        </w:rPr>
        <w:footnoteRef/>
      </w:r>
      <w:r w:rsidRPr="009418F8">
        <w:rPr>
          <w:rFonts w:cstheme="minorHAnsi"/>
          <w:sz w:val="12"/>
          <w:szCs w:val="16"/>
          <w:lang w:val="en-US"/>
        </w:rPr>
        <w:t xml:space="preserve"> </w:t>
      </w:r>
      <w:proofErr w:type="spellStart"/>
      <w:r w:rsidRPr="009418F8">
        <w:rPr>
          <w:rFonts w:ascii="Century Gothic" w:eastAsia="Times New Roman" w:hAnsi="Century Gothic" w:cstheme="minorHAnsi"/>
          <w:color w:val="000000"/>
          <w:sz w:val="12"/>
          <w:szCs w:val="16"/>
          <w:lang w:val="en-US" w:eastAsia="pl-PL"/>
        </w:rPr>
        <w:t>Newzoo</w:t>
      </w:r>
      <w:proofErr w:type="spellEnd"/>
      <w:r w:rsidRPr="009418F8">
        <w:rPr>
          <w:rFonts w:ascii="Century Gothic" w:eastAsia="Times New Roman" w:hAnsi="Century Gothic" w:cstheme="minorHAnsi"/>
          <w:color w:val="000000"/>
          <w:sz w:val="12"/>
          <w:szCs w:val="16"/>
          <w:lang w:val="en-US" w:eastAsia="pl-PL"/>
        </w:rPr>
        <w:t>, Global Games Market Report, October 2018 Quarterly Update</w:t>
      </w:r>
    </w:p>
  </w:footnote>
  <w:footnote w:id="2">
    <w:p w14:paraId="1B126176" w14:textId="77777777" w:rsidR="009418F8" w:rsidRPr="009418F8" w:rsidRDefault="009418F8" w:rsidP="009418F8">
      <w:pPr>
        <w:pStyle w:val="Tekstprzypisudolnego"/>
        <w:rPr>
          <w:rFonts w:ascii="Century Gothic" w:hAnsi="Century Gothic"/>
          <w:sz w:val="12"/>
          <w:szCs w:val="16"/>
          <w:lang w:val="en-US"/>
        </w:rPr>
      </w:pPr>
      <w:r w:rsidRPr="009418F8">
        <w:rPr>
          <w:rStyle w:val="Odwoanieprzypisudolnego"/>
          <w:rFonts w:ascii="Century Gothic" w:hAnsi="Century Gothic"/>
          <w:sz w:val="12"/>
          <w:szCs w:val="16"/>
        </w:rPr>
        <w:footnoteRef/>
      </w:r>
      <w:r w:rsidRPr="009418F8">
        <w:rPr>
          <w:rFonts w:ascii="Century Gothic" w:hAnsi="Century Gothic"/>
          <w:sz w:val="12"/>
          <w:szCs w:val="16"/>
        </w:rPr>
        <w:t xml:space="preserve"> Czy marketing w </w:t>
      </w:r>
      <w:proofErr w:type="spellStart"/>
      <w:r w:rsidRPr="009418F8">
        <w:rPr>
          <w:rFonts w:ascii="Century Gothic" w:hAnsi="Century Gothic"/>
          <w:sz w:val="12"/>
          <w:szCs w:val="16"/>
        </w:rPr>
        <w:t>gamingu</w:t>
      </w:r>
      <w:proofErr w:type="spellEnd"/>
      <w:r w:rsidRPr="009418F8">
        <w:rPr>
          <w:rFonts w:ascii="Century Gothic" w:hAnsi="Century Gothic"/>
          <w:sz w:val="12"/>
          <w:szCs w:val="16"/>
        </w:rPr>
        <w:t xml:space="preserve"> działa? </w:t>
      </w:r>
      <w:proofErr w:type="spellStart"/>
      <w:r w:rsidRPr="009418F8">
        <w:rPr>
          <w:rFonts w:ascii="Century Gothic" w:hAnsi="Century Gothic"/>
          <w:sz w:val="12"/>
          <w:szCs w:val="16"/>
          <w:lang w:val="en-US"/>
        </w:rPr>
        <w:t>Raport</w:t>
      </w:r>
      <w:proofErr w:type="spellEnd"/>
      <w:r w:rsidRPr="009418F8">
        <w:rPr>
          <w:rFonts w:ascii="Century Gothic" w:hAnsi="Century Gothic"/>
          <w:sz w:val="12"/>
          <w:szCs w:val="16"/>
          <w:lang w:val="en-US"/>
        </w:rPr>
        <w:t xml:space="preserve"> 2020, Havas Media </w:t>
      </w:r>
      <w:proofErr w:type="spellStart"/>
      <w:r w:rsidRPr="009418F8">
        <w:rPr>
          <w:rFonts w:ascii="Century Gothic" w:hAnsi="Century Gothic"/>
          <w:sz w:val="12"/>
          <w:szCs w:val="16"/>
          <w:lang w:val="en-US"/>
        </w:rPr>
        <w:t>i</w:t>
      </w:r>
      <w:proofErr w:type="spellEnd"/>
      <w:r w:rsidRPr="009418F8">
        <w:rPr>
          <w:rFonts w:ascii="Century Gothic" w:hAnsi="Century Gothic"/>
          <w:sz w:val="12"/>
          <w:szCs w:val="16"/>
          <w:lang w:val="en-US"/>
        </w:rPr>
        <w:t xml:space="preserve"> Brief </w:t>
      </w:r>
      <w:proofErr w:type="spellStart"/>
      <w:r w:rsidRPr="009418F8">
        <w:rPr>
          <w:rFonts w:ascii="Century Gothic" w:hAnsi="Century Gothic"/>
          <w:sz w:val="12"/>
          <w:szCs w:val="16"/>
          <w:lang w:val="en-US"/>
        </w:rPr>
        <w:t>Esports</w:t>
      </w:r>
      <w:proofErr w:type="spellEnd"/>
    </w:p>
  </w:footnote>
  <w:footnote w:id="3">
    <w:p w14:paraId="2B31A0D8" w14:textId="77777777" w:rsidR="009418F8" w:rsidRDefault="009418F8" w:rsidP="009418F8">
      <w:pPr>
        <w:pStyle w:val="Tekstprzypisudolnego"/>
      </w:pPr>
      <w:r w:rsidRPr="009418F8">
        <w:rPr>
          <w:rStyle w:val="Odwoanieprzypisudolnego"/>
          <w:rFonts w:ascii="Century Gothic" w:hAnsi="Century Gothic"/>
          <w:sz w:val="12"/>
          <w:szCs w:val="16"/>
        </w:rPr>
        <w:footnoteRef/>
      </w:r>
      <w:r w:rsidRPr="009418F8">
        <w:rPr>
          <w:rFonts w:ascii="Century Gothic" w:hAnsi="Century Gothic"/>
          <w:sz w:val="12"/>
          <w:szCs w:val="16"/>
        </w:rPr>
        <w:t xml:space="preserve"> </w:t>
      </w:r>
      <w:r w:rsidRPr="009418F8">
        <w:rPr>
          <w:rFonts w:ascii="Century Gothic" w:hAnsi="Century Gothic" w:cstheme="minorHAnsi"/>
          <w:sz w:val="12"/>
          <w:szCs w:val="16"/>
        </w:rPr>
        <w:t xml:space="preserve">Czy marketing w </w:t>
      </w:r>
      <w:proofErr w:type="spellStart"/>
      <w:r w:rsidRPr="009418F8">
        <w:rPr>
          <w:rFonts w:ascii="Century Gothic" w:hAnsi="Century Gothic" w:cstheme="minorHAnsi"/>
          <w:sz w:val="12"/>
          <w:szCs w:val="16"/>
        </w:rPr>
        <w:t>gamingu</w:t>
      </w:r>
      <w:proofErr w:type="spellEnd"/>
      <w:r w:rsidRPr="009418F8">
        <w:rPr>
          <w:rFonts w:ascii="Century Gothic" w:hAnsi="Century Gothic" w:cstheme="minorHAnsi"/>
          <w:sz w:val="12"/>
          <w:szCs w:val="16"/>
        </w:rPr>
        <w:t xml:space="preserve"> działa?</w:t>
      </w:r>
    </w:p>
  </w:footnote>
  <w:footnote w:id="4">
    <w:p w14:paraId="29F4420E" w14:textId="77777777" w:rsidR="009418F8" w:rsidRPr="00040F93" w:rsidRDefault="009418F8" w:rsidP="009418F8">
      <w:pPr>
        <w:pStyle w:val="Tekstprzypisudolnego"/>
        <w:rPr>
          <w:rFonts w:ascii="Century Gothic" w:hAnsi="Century Gothic"/>
          <w:sz w:val="16"/>
          <w:szCs w:val="16"/>
        </w:rPr>
      </w:pPr>
      <w:r w:rsidRPr="009418F8">
        <w:rPr>
          <w:rStyle w:val="Odwoanieprzypisudolnego"/>
          <w:rFonts w:ascii="Century Gothic" w:hAnsi="Century Gothic" w:cstheme="minorHAnsi"/>
          <w:sz w:val="12"/>
          <w:szCs w:val="16"/>
        </w:rPr>
        <w:footnoteRef/>
      </w:r>
      <w:r w:rsidRPr="009418F8">
        <w:rPr>
          <w:rFonts w:ascii="Century Gothic" w:hAnsi="Century Gothic" w:cstheme="minorHAnsi"/>
          <w:sz w:val="12"/>
          <w:szCs w:val="16"/>
        </w:rPr>
        <w:t xml:space="preserve"> Źródło, </w:t>
      </w:r>
      <w:proofErr w:type="spellStart"/>
      <w:r w:rsidRPr="009418F8">
        <w:rPr>
          <w:rFonts w:ascii="Century Gothic" w:hAnsi="Century Gothic" w:cstheme="minorHAnsi"/>
          <w:sz w:val="12"/>
          <w:szCs w:val="16"/>
        </w:rPr>
        <w:t>Mobiem</w:t>
      </w:r>
      <w:proofErr w:type="spellEnd"/>
      <w:r w:rsidRPr="009418F8">
        <w:rPr>
          <w:rFonts w:ascii="Century Gothic" w:hAnsi="Century Gothic" w:cstheme="minorHAnsi"/>
          <w:sz w:val="12"/>
          <w:szCs w:val="16"/>
        </w:rPr>
        <w:t xml:space="preserve"> Polska 2020.</w:t>
      </w:r>
    </w:p>
  </w:footnote>
  <w:footnote w:id="5">
    <w:p w14:paraId="1A96E6C9" w14:textId="77777777" w:rsidR="009418F8" w:rsidRPr="009418F8" w:rsidRDefault="009418F8" w:rsidP="009418F8">
      <w:pPr>
        <w:pStyle w:val="Tekstprzypisudolnego"/>
        <w:rPr>
          <w:rFonts w:ascii="Arial" w:hAnsi="Arial" w:cs="Arial"/>
          <w:sz w:val="12"/>
          <w:szCs w:val="16"/>
        </w:rPr>
      </w:pPr>
      <w:r w:rsidRPr="009418F8">
        <w:rPr>
          <w:rStyle w:val="Odwoanieprzypisudolnego"/>
          <w:rFonts w:ascii="Arial" w:hAnsi="Arial" w:cs="Arial"/>
          <w:sz w:val="12"/>
          <w:szCs w:val="16"/>
        </w:rPr>
        <w:footnoteRef/>
      </w:r>
      <w:r w:rsidRPr="009418F8">
        <w:rPr>
          <w:rFonts w:ascii="Arial" w:hAnsi="Arial" w:cs="Arial"/>
          <w:sz w:val="12"/>
          <w:szCs w:val="16"/>
        </w:rPr>
        <w:t xml:space="preserve"> </w:t>
      </w:r>
      <w:proofErr w:type="spellStart"/>
      <w:r w:rsidRPr="009418F8">
        <w:rPr>
          <w:rFonts w:ascii="Century Gothic" w:hAnsi="Century Gothic" w:cs="Arial"/>
          <w:sz w:val="12"/>
          <w:szCs w:val="16"/>
        </w:rPr>
        <w:t>Statista</w:t>
      </w:r>
      <w:proofErr w:type="spellEnd"/>
      <w:r w:rsidRPr="009418F8">
        <w:rPr>
          <w:rFonts w:ascii="Century Gothic" w:hAnsi="Century Gothic" w:cs="Arial"/>
          <w:sz w:val="12"/>
          <w:szCs w:val="16"/>
        </w:rPr>
        <w:t>, wrzesień 2020 r. - dane dot. Regionu EMEA</w:t>
      </w:r>
    </w:p>
  </w:footnote>
  <w:footnote w:id="6">
    <w:p w14:paraId="2A205C60" w14:textId="77777777" w:rsidR="009418F8" w:rsidRPr="000168B0" w:rsidRDefault="009418F8" w:rsidP="009418F8">
      <w:pPr>
        <w:pStyle w:val="Tekstprzypisudolnego"/>
        <w:rPr>
          <w:rFonts w:ascii="Century Gothic" w:hAnsi="Century Gothic"/>
          <w:sz w:val="16"/>
          <w:szCs w:val="16"/>
        </w:rPr>
      </w:pPr>
      <w:r w:rsidRPr="009418F8">
        <w:rPr>
          <w:rStyle w:val="Odwoanieprzypisudolnego"/>
          <w:rFonts w:ascii="Century Gothic" w:hAnsi="Century Gothic"/>
          <w:sz w:val="12"/>
          <w:szCs w:val="16"/>
        </w:rPr>
        <w:footnoteRef/>
      </w:r>
      <w:r w:rsidRPr="009418F8">
        <w:rPr>
          <w:rFonts w:ascii="Century Gothic" w:hAnsi="Century Gothic"/>
          <w:sz w:val="12"/>
          <w:szCs w:val="16"/>
        </w:rPr>
        <w:t xml:space="preserve"> Czy marketing w </w:t>
      </w:r>
      <w:proofErr w:type="spellStart"/>
      <w:r w:rsidRPr="009418F8">
        <w:rPr>
          <w:rFonts w:ascii="Century Gothic" w:hAnsi="Century Gothic"/>
          <w:sz w:val="12"/>
          <w:szCs w:val="16"/>
        </w:rPr>
        <w:t>gamingu</w:t>
      </w:r>
      <w:proofErr w:type="spellEnd"/>
      <w:r w:rsidRPr="009418F8">
        <w:rPr>
          <w:rFonts w:ascii="Century Gothic" w:hAnsi="Century Gothic"/>
          <w:sz w:val="12"/>
          <w:szCs w:val="16"/>
        </w:rPr>
        <w:t xml:space="preserve"> działa? Raport, 2020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2C84E" w14:textId="77777777" w:rsidR="00DA7E7B" w:rsidRDefault="00DA7E7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E90B452" wp14:editId="50628A40">
          <wp:simplePos x="0" y="0"/>
          <wp:positionH relativeFrom="column">
            <wp:posOffset>-599440</wp:posOffset>
          </wp:positionH>
          <wp:positionV relativeFrom="paragraph">
            <wp:posOffset>-13970</wp:posOffset>
          </wp:positionV>
          <wp:extent cx="2406015" cy="106743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e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015" cy="1067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7B"/>
    <w:rsid w:val="00073846"/>
    <w:rsid w:val="0014101D"/>
    <w:rsid w:val="001E2615"/>
    <w:rsid w:val="00211879"/>
    <w:rsid w:val="002C40F1"/>
    <w:rsid w:val="00327CC2"/>
    <w:rsid w:val="003B1275"/>
    <w:rsid w:val="00460AEE"/>
    <w:rsid w:val="0046226B"/>
    <w:rsid w:val="004B6AFB"/>
    <w:rsid w:val="004C2F62"/>
    <w:rsid w:val="006633F5"/>
    <w:rsid w:val="00677901"/>
    <w:rsid w:val="006B3413"/>
    <w:rsid w:val="0073391E"/>
    <w:rsid w:val="00746DD5"/>
    <w:rsid w:val="00814BBE"/>
    <w:rsid w:val="008C1428"/>
    <w:rsid w:val="009418F8"/>
    <w:rsid w:val="009B4E95"/>
    <w:rsid w:val="00A17EA8"/>
    <w:rsid w:val="00A96109"/>
    <w:rsid w:val="00AF57C6"/>
    <w:rsid w:val="00B2209F"/>
    <w:rsid w:val="00BC02A6"/>
    <w:rsid w:val="00C82840"/>
    <w:rsid w:val="00DA7E7B"/>
    <w:rsid w:val="00DD1B49"/>
    <w:rsid w:val="00E75BB3"/>
    <w:rsid w:val="00EB69AA"/>
    <w:rsid w:val="00F059F1"/>
    <w:rsid w:val="00F30F9B"/>
    <w:rsid w:val="00FD22F2"/>
    <w:rsid w:val="00FE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A1A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18F8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E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E7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E7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DA7E7B"/>
  </w:style>
  <w:style w:type="paragraph" w:styleId="Stopka">
    <w:name w:val="footer"/>
    <w:basedOn w:val="Normalny"/>
    <w:link w:val="StopkaZnak"/>
    <w:uiPriority w:val="99"/>
    <w:unhideWhenUsed/>
    <w:rsid w:val="00DA7E7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DA7E7B"/>
  </w:style>
  <w:style w:type="paragraph" w:styleId="Tekstpodstawowywcity">
    <w:name w:val="Body Text Indent"/>
    <w:basedOn w:val="Normalny"/>
    <w:link w:val="TekstpodstawowywcityZnak"/>
    <w:rsid w:val="00A96109"/>
    <w:pPr>
      <w:suppressAutoHyphens/>
      <w:spacing w:before="120" w:after="120" w:line="360" w:lineRule="auto"/>
      <w:ind w:left="709"/>
      <w:jc w:val="both"/>
    </w:pPr>
    <w:rPr>
      <w:rFonts w:ascii="Garamond" w:eastAsia="Times New Roman" w:hAnsi="Garamond" w:cs="Times New Roman"/>
      <w:sz w:val="26"/>
      <w:szCs w:val="26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96109"/>
    <w:rPr>
      <w:rFonts w:ascii="Garamond" w:eastAsia="Times New Roman" w:hAnsi="Garamond" w:cs="Times New Roman"/>
      <w:sz w:val="26"/>
      <w:szCs w:val="26"/>
      <w:lang w:eastAsia="ar-SA"/>
    </w:rPr>
  </w:style>
  <w:style w:type="paragraph" w:customStyle="1" w:styleId="normal-bez-wciecia">
    <w:name w:val="normal-bez-wciecia"/>
    <w:basedOn w:val="Normalny"/>
    <w:rsid w:val="00A96109"/>
    <w:pPr>
      <w:keepLines/>
      <w:tabs>
        <w:tab w:val="left" w:pos="283"/>
      </w:tabs>
      <w:spacing w:line="240" w:lineRule="exact"/>
      <w:jc w:val="both"/>
    </w:pPr>
    <w:rPr>
      <w:rFonts w:ascii="SlimbachItcTEE" w:eastAsia="Times New Roman" w:hAnsi="SlimbachItcTEE" w:cs="Times New Roman"/>
      <w:noProof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E261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E261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E261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E261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E2615"/>
    <w:rPr>
      <w:color w:val="800080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261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18F8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E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E7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E7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DA7E7B"/>
  </w:style>
  <w:style w:type="paragraph" w:styleId="Stopka">
    <w:name w:val="footer"/>
    <w:basedOn w:val="Normalny"/>
    <w:link w:val="StopkaZnak"/>
    <w:uiPriority w:val="99"/>
    <w:unhideWhenUsed/>
    <w:rsid w:val="00DA7E7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DA7E7B"/>
  </w:style>
  <w:style w:type="paragraph" w:styleId="Tekstpodstawowywcity">
    <w:name w:val="Body Text Indent"/>
    <w:basedOn w:val="Normalny"/>
    <w:link w:val="TekstpodstawowywcityZnak"/>
    <w:rsid w:val="00A96109"/>
    <w:pPr>
      <w:suppressAutoHyphens/>
      <w:spacing w:before="120" w:after="120" w:line="360" w:lineRule="auto"/>
      <w:ind w:left="709"/>
      <w:jc w:val="both"/>
    </w:pPr>
    <w:rPr>
      <w:rFonts w:ascii="Garamond" w:eastAsia="Times New Roman" w:hAnsi="Garamond" w:cs="Times New Roman"/>
      <w:sz w:val="26"/>
      <w:szCs w:val="26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96109"/>
    <w:rPr>
      <w:rFonts w:ascii="Garamond" w:eastAsia="Times New Roman" w:hAnsi="Garamond" w:cs="Times New Roman"/>
      <w:sz w:val="26"/>
      <w:szCs w:val="26"/>
      <w:lang w:eastAsia="ar-SA"/>
    </w:rPr>
  </w:style>
  <w:style w:type="paragraph" w:customStyle="1" w:styleId="normal-bez-wciecia">
    <w:name w:val="normal-bez-wciecia"/>
    <w:basedOn w:val="Normalny"/>
    <w:rsid w:val="00A96109"/>
    <w:pPr>
      <w:keepLines/>
      <w:tabs>
        <w:tab w:val="left" w:pos="283"/>
      </w:tabs>
      <w:spacing w:line="240" w:lineRule="exact"/>
      <w:jc w:val="both"/>
    </w:pPr>
    <w:rPr>
      <w:rFonts w:ascii="SlimbachItcTEE" w:eastAsia="Times New Roman" w:hAnsi="SlimbachItcTEE" w:cs="Times New Roman"/>
      <w:noProof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E261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E261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E261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E261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E2615"/>
    <w:rPr>
      <w:color w:val="800080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2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.tomicka@lightscape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vimeo.com/447515971/6b2b883486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meo.com/417545927/f128fad7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E82EF9A4943C44B2B149C36FA739EA" ma:contentTypeVersion="13" ma:contentTypeDescription="Utwórz nowy dokument." ma:contentTypeScope="" ma:versionID="501e5c42a897c0c960b0e8d1b393bfb1">
  <xsd:schema xmlns:xsd="http://www.w3.org/2001/XMLSchema" xmlns:xs="http://www.w3.org/2001/XMLSchema" xmlns:p="http://schemas.microsoft.com/office/2006/metadata/properties" xmlns:ns3="89f6eb1b-86a9-4606-acec-cbdd9789c325" xmlns:ns4="da7d8271-f72f-40bc-a496-8eb22e61157b" targetNamespace="http://schemas.microsoft.com/office/2006/metadata/properties" ma:root="true" ma:fieldsID="d7ec5a499d11b01a50838469af0be6cd" ns3:_="" ns4:_="">
    <xsd:import namespace="89f6eb1b-86a9-4606-acec-cbdd9789c325"/>
    <xsd:import namespace="da7d8271-f72f-40bc-a496-8eb22e6115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f6eb1b-86a9-4606-acec-cbdd9789c3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d8271-f72f-40bc-a496-8eb22e61157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D3504-B671-4C71-89AC-378A1F0E6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f6eb1b-86a9-4606-acec-cbdd9789c325"/>
    <ds:schemaRef ds:uri="da7d8271-f72f-40bc-a496-8eb22e611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78C0FB-C1DF-4368-A334-3E99AE4DF6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B079B1-92C1-44F0-AD51-ED2034F301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5B432E-99F9-47F9-8DA9-E86E56351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1486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Wąsikowska</dc:creator>
  <cp:lastModifiedBy>Pamela Tomicka</cp:lastModifiedBy>
  <cp:revision>3</cp:revision>
  <cp:lastPrinted>2020-08-03T09:29:00Z</cp:lastPrinted>
  <dcterms:created xsi:type="dcterms:W3CDTF">2021-03-16T12:56:00Z</dcterms:created>
  <dcterms:modified xsi:type="dcterms:W3CDTF">2021-03-16T13:27:00Z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0x0101009BE82EF9A4943C44B2B149C36FA739EA</vt:lpwstr>
  </property>
</Properties>
</file>